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🏭 精细化工原水波动大？耐污染反渗透膜清洗技术让系统稳定运行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精细化工、医药中间体及新材料合成领域，生产用水的稳定性直接关系到产品的纯度与收率。然而，许多化工企业面临着严峻的“原水噩梦”：水源多为成分复杂的工业废水回用或高盐度地下水，COD（化学需氧量）、悬浮物及微生物含量随季节和上游排放剧烈波动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这种水质的“过山车”式变化，往往导致反渗透（RO）系统频繁污堵：产水量断崖式下跌、运行压力飙升、膜元件寿命大幅缩短。频繁更换膜元件不仅成本高昂，更会导致生产线被迫停机。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如何破解这一困局？答案在于“耐污染膜元件选型”与“精准化学清洗技术”的双重加持。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⚠️ 痛点直击：为何化工原水更易“杀”死反渗透膜？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不同于普通的自来水处理，精细化工原水具有“三高一杂”的特征：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高有机物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：水中含有大量疏水性有机物，极易吸附在膜表面形成凝胶层。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高胶体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：微小的胶体颗粒容易堵塞膜表面的进水格网。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高微生物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：复杂的营养源导致细菌滋生，形成难以去除的生物膜。</w:t>
      </w:r>
      <w:bookmarkEnd w:id="1009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成分复杂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：pH值波动大，且可能含有氧化性物质。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当这些污染物在膜表面积累时，会发生浓差极化现象，导致膜表面盐浓度远高于主体水流，进而引发无机盐结垢。这不仅增加了能耗，更可能因局部过热或化学腐蚀导致膜元件报废。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🛡️ 技术防线：耐污染反渗透膜的“抗污”机理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针对化工水质特点，单纯依靠传统的预处理往往力不从心。选用抗污染型反渗透膜是解决问题的第一步。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这种膜元件通过特殊的表面改性技术，改变了膜表面的物理化学性质，从源头减少污染物的附着。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表面电荷排斥技术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普通聚酰胺复合膜表面通常带负电荷，容易吸附带正电的金属离子或胶体。而耐污染膜通过接枝亲水性高分子材料（如聚乙烯醇PVA），使膜表面形成一层致密的水化层。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根据DLVO理论，膜表面与污染物之间的相互作用能决定了吸附的难易程度。耐污染膜通过降低表面Zeta电位（通常控制在-10mV以内），增强了对胶体和有机物的静电排斥力，显著降低了污染物的沉积速率。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低粗糙度表面设计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污染物往往倾向于在膜表面的“波谷”处堆积。耐污染膜采用先进的界面聚合工艺，将膜表面的粗糙度降低了60%以上，形成平滑的“荷叶效应”，使污染物难以在膜表面停留，随浓水轻松排出。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运维核心：基于化学原理的精准清洗策略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即使使用了耐污染膜，长期的运行积累仍需通过化学清洗来恢复性能。针对化工废水的复杂性，我们摒弃“一刀切”的清洗方式，采用“分步诊断+针对性清洗”的技术路线。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第一步：污染类型诊断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在清洗前，必须通过解剖分析或运行数据判断污染类型：</w:t>
      </w:r>
      <w:bookmarkEnd w:id="102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无机结垢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：表现为一段压差升高，产水量下降。</w:t>
      </w:r>
      <w:bookmarkEnd w:id="102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有机/生物污染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：表现为二段压差显著升高，产水水质恶化。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第二步：化学清洗配方与原理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针对不同污染物，采用特定的化学药剂进行溶解或剥离。</w:t>
      </w:r>
      <w:bookmarkEnd w:id="102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酸性清洗（去除无机垢）</w:t>
      </w:r>
      <w:bookmarkEnd w:id="102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主要使用柠檬酸或盐酸调节pH值至2-3。低pH环境能溶解碳酸钙、氢氧化铁等沉淀物。</w:t>
      </w:r>
      <w:bookmarkEnd w:id="102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反应示例（以碳酸钙为例）：</w:t>
      </w:r>
      <w:bookmarkEnd w:id="103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</w:pPr>
      <w:bookmarkStart w:id="1031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CaC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+2</m:t>
        </m:r>
        <m:sSup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→C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O+C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↑</m:t>
        </m:r>
      </m:oMath>
      <w:bookmarkEnd w:id="103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碱性清洗（去除有机物与生物膜）</w:t>
      </w:r>
      <w:bookmarkEnd w:id="103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主要使用氢氧化钠（NaOH）配合表面活性剂（如十二烷基硫酸钠），调节pH值至11-12。</w:t>
      </w:r>
      <w:bookmarkEnd w:id="1033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皂化反应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：强碱能将油脂类有机物转化为可溶性的肥皂和甘油。</w:t>
      </w:r>
      <w:bookmarkEnd w:id="1034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电荷排斥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：在高pH值下，膜表面和污染物均带强负电荷，静电排斥力将有机污垢从膜表面“推”开。</w:t>
      </w:r>
      <w:bookmarkEnd w:id="1035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杀菌剥离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：高pH环境能破坏细菌细胞壁，配合表面活性剂的润湿渗透作用，使生物膜脱落。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第三步：清洗工艺参数控制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清洗不仅仅是泡一泡，更需精准控制物理参数：</w:t>
      </w:r>
      <w:bookmarkEnd w:id="1038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温度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：控制在30℃-35℃。温度每升高10℃，化学反应速率约提高一倍，但超过40℃可能损伤聚酰胺膜层。</w:t>
      </w:r>
      <w:bookmarkEnd w:id="103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流量与压力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：采用“低流量循环+高流量冲洗”模式。循环流量控制在单支膜元件8-10m³/h，避免过高的压力导致污染物被再次压入膜孔深处。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方案价值：从“频繁换膜”到“长效稳定”</w:t>
      </w:r>
      <w:bookmarkEnd w:id="10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通过引入耐污染膜技术与科学清洗方案，精细化工企业可获得显著的效益提升：</w:t>
      </w:r>
      <w:bookmarkEnd w:id="1042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传统普通膜方案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耐污染膜+科学清洗方案</w:t>
            </w:r>
            <w:bookmarkEnd w:id="104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效益分析</w:t>
            </w:r>
            <w:bookmarkEnd w:id="1046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运行周期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清洗频繁（1-2月/次）</w:t>
            </w:r>
            <w:bookmarkEnd w:id="104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长效稳定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（6-12月/次）</w:t>
            </w:r>
            <w:bookmarkEnd w:id="104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减少停机时间，保障连续生产</w:t>
            </w:r>
            <w:bookmarkEnd w:id="1050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膜寿命</w:t>
            </w:r>
            <w:bookmarkEnd w:id="105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1-2年即报废</w:t>
            </w:r>
            <w:bookmarkEnd w:id="105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3-5年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仍保持高性能</w:t>
            </w:r>
            <w:bookmarkEnd w:id="105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降低备件采购成本约40%</w:t>
            </w:r>
            <w:bookmarkEnd w:id="1054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运行能耗</w:t>
            </w:r>
            <w:bookmarkEnd w:id="105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污堵导致高压运行，能耗高</w:t>
            </w:r>
            <w:bookmarkEnd w:id="105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低压运行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，通量恢复快</w:t>
            </w:r>
            <w:bookmarkEnd w:id="105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节约电费支出</w:t>
            </w:r>
            <w:bookmarkEnd w:id="1058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产水水质</w:t>
            </w:r>
            <w:bookmarkEnd w:id="105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脱盐率波动大</w:t>
            </w:r>
            <w:bookmarkEnd w:id="106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稳定达标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，电导率低</w:t>
            </w:r>
            <w:bookmarkEnd w:id="106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保障化工产品纯度</w:t>
            </w:r>
            <w:bookmarkEnd w:id="1062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在精细化工行业，水处理的稳定性就是生产力的保障。面对波动剧烈的原水水质，唯有采用“抗污染硬件”与“精细化清洗软件”相结合的策略，才能打破污堵魔咒。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们提供的不仅仅是反渗透设备，更是一套基于水质特性的全生命周期管理方案。通过精准的化学清洗与科学的运维指导，我们将帮助您的系统实现“长周期、低能耗、稳产水”的运行目标，为化工产品的高品质保驾护航。</w:t>
      </w:r>
      <w:bookmarkEnd w:id="10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如果您正面临反渗透系统频繁污堵的困扰，欢迎联系我们进行水质诊断，我们将为您定制专属的清洗与优化方案。</w:t>
      </w:r>
      <w:bookmarkEnd w:id="106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2026-04-13T07:16:43Z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Yt7mffcFMIIuAqFmqHuGZKPtFgyYJafQN23vXjWf6zM=","ProduceID":"doc_sgs:2401b393-688d-4d0a-bf1e-a5707c4374fb","ReservedCode2":"Yt7mffcFMIIuAqFmqHuGZKPtFgyYJafQN23vXjWf6zM=","PropagateID":"doc_sgs:2401b393-688d-4d0a-bf1e-a5707c4374fb","ContentProducer":"001191440101MA9Y9T4H7A00000"}</vt:lpwstr>
  </property>
</Properties>
</file>