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oter+xml" PartName="/word/footer1.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theme+xml" PartName="/word/theme/theme-1.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 Id="rId4" Target="docProps/custom.xml" Type="http://schemas.openxmlformats.org/officeDocument/2006/relationships/custom-properties"/></Relationships>
</file>

<file path=word/document.xml><?xml version="1.0" encoding="utf-8"?>
<w:document xmlns:w="http://schemas.openxmlformats.org/wordprocessingml/2006/main" xmlns:r="http://schemas.openxmlformats.org/officeDocument/2006/relationships" xmlns:wps="http://schemas.microsoft.com/office/word/2010/wordprocessingShape">
  <w:body>
    <w:p>
      <w:pPr>
        <w:pageBreakBefore w:val="off"/>
        <w:tabs/>
        <w:wordWrap w:val="on"/>
        <w:spacing w:after="0" w:before="160"/>
        <w:ind w:left="0" w:right="0"/>
        <w:jc w:val="left"/>
        <w:textAlignment w:val="auto"/>
        <w:rPr>
          <w:sz w:val="24"/>
        </w:rPr>
      </w:pPr>
      <w:bookmarkStart w:id="1001" w:name=""/>
      <w:r>
        <w:rPr>
          <w:rFonts w:ascii="宋体" w:cs="宋体" w:eastAsia="宋体" w:hAnsi="宋体"/>
          <w:sz w:val="24"/>
          <w:spacing w:val="0"/>
          <w:b w:val="on"/>
          <w:i w:val="off"/>
        </w:rPr>
        <w:t>🌞 光伏硅片切割液配制用水：水质对切割损耗率的影响分析</w:t>
      </w:r>
      <w:bookmarkEnd w:id="1001"/>
    </w:p>
    <w:p>
      <w:pPr>
        <w:pageBreakBefore w:val="off"/>
        <w:tabs/>
        <w:wordWrap w:val="on"/>
        <w:spacing w:after="0" w:before="160"/>
        <w:ind w:left="0" w:right="0"/>
        <w:jc w:val="left"/>
        <w:textAlignment w:val="auto"/>
        <w:rPr>
          <w:sz w:val="24"/>
        </w:rPr>
      </w:pPr>
      <w:bookmarkStart w:id="1002" w:name=""/>
      <w:r>
        <w:rPr>
          <w:rFonts w:ascii="宋体" w:cs="宋体" w:eastAsia="宋体" w:hAnsi="宋体"/>
          <w:sz w:val="24"/>
          <w:spacing w:val="0"/>
          <w:b w:val="off"/>
          <w:i w:val="off"/>
        </w:rPr>
        <w:t>在光伏产业“降本增效”的洪流中，硅片切割环节是决定成本与良率的关键工序。随着金刚线切割技术向细线化、高速化发展，切割液（冷却液）的性能被推向了极致。然而，许多企业在追求高性能切割液配方时，往往忽视了一个最基础却最致命的变量——</w:t>
      </w:r>
      <w:r>
        <w:rPr>
          <w:rFonts w:ascii="宋体" w:cs="宋体" w:eastAsia="宋体" w:hAnsi="宋体"/>
          <w:sz w:val="24"/>
          <w:spacing w:val="0"/>
          <w:b w:val="on"/>
          <w:i w:val="off"/>
        </w:rPr>
        <w:t>配制用水的水质</w:t>
      </w:r>
      <w:r>
        <w:rPr>
          <w:rFonts w:ascii="宋体" w:cs="宋体" w:eastAsia="宋体" w:hAnsi="宋体"/>
          <w:sz w:val="24"/>
          <w:spacing w:val="0"/>
          <w:b w:val="off"/>
          <w:i w:val="off"/>
        </w:rPr>
        <w:t>。</w:t>
      </w:r>
      <w:bookmarkEnd w:id="1002"/>
    </w:p>
    <w:p>
      <w:pPr>
        <w:pageBreakBefore w:val="off"/>
        <w:tabs/>
        <w:wordWrap w:val="on"/>
        <w:spacing w:after="0" w:before="160"/>
        <w:ind w:left="0" w:right="0"/>
        <w:jc w:val="left"/>
        <w:textAlignment w:val="auto"/>
        <w:rPr>
          <w:sz w:val="24"/>
        </w:rPr>
      </w:pPr>
      <w:bookmarkStart w:id="1003" w:name=""/>
      <w:r>
        <w:rPr>
          <w:rFonts w:ascii="宋体" w:cs="宋体" w:eastAsia="宋体" w:hAnsi="宋体"/>
          <w:sz w:val="24"/>
          <w:spacing w:val="0"/>
          <w:b w:val="off"/>
          <w:i w:val="off"/>
        </w:rPr>
        <w:t>生产实践中常出现这样的怪象：同样的切割液配方，使用自来水或普通软化水配制时，硅片崩边率上升、线痕明显、甚至出现断线；而使用高纯度去离子水后，各项指标瞬间达标。这背后的核心逻辑在于：水中的杂质离子正在悄无声息地破坏切割液的化学平衡，直接导致切割损耗率飙升。</w:t>
      </w:r>
      <w:bookmarkEnd w:id="1003"/>
    </w:p>
    <w:p>
      <w:pPr>
        <w:pageBreakBefore w:val="off"/>
        <w:tabs/>
        <w:wordWrap w:val="on"/>
        <w:spacing w:after="0" w:before="160"/>
        <w:ind w:left="0" w:right="0"/>
        <w:jc w:val="left"/>
        <w:textAlignment w:val="auto"/>
        <w:rPr>
          <w:sz w:val="24"/>
        </w:rPr>
      </w:pPr>
      <w:bookmarkStart w:id="1004" w:name=""/>
      <w:r>
        <w:rPr>
          <w:rFonts w:ascii="宋体" w:cs="宋体" w:eastAsia="宋体" w:hAnsi="宋体"/>
          <w:sz w:val="24"/>
          <w:spacing w:val="0"/>
          <w:b w:val="on"/>
          <w:i w:val="off"/>
        </w:rPr>
        <w:t>🧪 隐形杀手：水质硬度如何“毒害”切割液？</w:t>
      </w:r>
      <w:bookmarkEnd w:id="1004"/>
    </w:p>
    <w:p>
      <w:pPr>
        <w:pageBreakBefore w:val="off"/>
        <w:tabs/>
        <w:wordWrap w:val="on"/>
        <w:spacing w:after="0" w:before="160"/>
        <w:ind w:left="0" w:right="0"/>
        <w:jc w:val="left"/>
        <w:textAlignment w:val="auto"/>
        <w:rPr>
          <w:sz w:val="24"/>
        </w:rPr>
      </w:pPr>
      <w:bookmarkStart w:id="1005" w:name=""/>
      <w:r>
        <w:rPr>
          <w:rFonts w:ascii="宋体" w:cs="宋体" w:eastAsia="宋体" w:hAnsi="宋体"/>
          <w:sz w:val="24"/>
          <w:spacing w:val="0"/>
          <w:b w:val="off"/>
          <w:i w:val="off"/>
        </w:rPr>
        <w:t>光伏硅片切割是一个集机械磨削、化学腐蚀与物理冷却于一体的复杂过程。切割液不仅要带走巨大的切削热，还要迅速排出硅粉微渣。如果配制用水中含有钙、镁、铁等金属离子（即硬水），将引发三大连锁反应：</w:t>
      </w:r>
      <w:bookmarkEnd w:id="1005"/>
    </w:p>
    <w:p>
      <w:pPr>
        <w:pageBreakBefore w:val="off"/>
        <w:numPr>
          <w:ilvl w:val="0"/>
          <w:numId w:val="1"/>
        </w:numPr>
        <w:tabs/>
        <w:wordWrap w:val="on"/>
        <w:spacing w:after="0" w:before="160"/>
        <w:ind w:hanging="440" w:left="440" w:right="0"/>
        <w:jc w:val="left"/>
        <w:textAlignment w:val="auto"/>
        <w:rPr>
          <w:sz w:val="24"/>
        </w:rPr>
      </w:pPr>
      <w:bookmarkStart w:id="1006" w:name=""/>
      <w:r>
        <w:rPr>
          <w:rFonts w:ascii="宋体" w:cs="宋体" w:eastAsia="宋体" w:hAnsi="宋体"/>
          <w:sz w:val="24"/>
          <w:spacing w:val="0"/>
          <w:b w:val="on"/>
          <w:i w:val="off"/>
        </w:rPr>
        <w:t>🧼 皂化反应与沉淀生成</w:t>
      </w:r>
      <w:bookmarkEnd w:id="1006"/>
    </w:p>
    <w:p>
      <w:pPr>
        <w:pageBreakBefore w:val="off"/>
        <w:numPr>
          <w:ilvl w:val="0"/>
          <w:numId w:val="1"/>
        </w:numPr>
        <w:tabs/>
        <w:wordWrap w:val="on"/>
        <w:spacing w:after="0" w:before="160"/>
        <w:ind w:hanging="440" w:left="440" w:right="0"/>
        <w:jc w:val="left"/>
        <w:textAlignment w:val="auto"/>
        <w:rPr>
          <w:sz w:val="24"/>
        </w:rPr>
      </w:pPr>
      <w:bookmarkStart w:id="1007" w:name=""/>
      <w:r>
        <w:rPr>
          <w:rFonts w:ascii="宋体" w:cs="宋体" w:eastAsia="宋体" w:hAnsi="宋体"/>
          <w:sz w:val="24"/>
          <w:spacing w:val="0"/>
          <w:b w:val="off"/>
          <w:i w:val="off"/>
        </w:rPr>
        <w:t>切割液中通常含有阴离子表面活性剂和有机羧酸类防锈剂。当这些成分遇到水中的钙、镁离子时，会发生化学反应生成不溶性的“金属皂”沉淀。</w:t>
      </w:r>
      <w:bookmarkEnd w:id="1007"/>
    </w:p>
    <w:p>
      <w:pPr>
        <w:pageBreakBefore w:val="off"/>
        <w:numPr>
          <w:ilvl w:val="0"/>
          <w:numId w:val="1"/>
        </w:numPr>
        <w:tabs/>
        <w:wordWrap w:val="on"/>
        <w:spacing w:after="0" w:before="160"/>
        <w:ind w:hanging="440" w:left="440" w:right="0"/>
        <w:jc w:val="left"/>
        <w:textAlignment w:val="auto"/>
        <w:rPr>
          <w:sz w:val="24"/>
        </w:rPr>
      </w:pPr>
      <w:bookmarkStart w:id="1008" w:name=""/>
      <w:r>
        <w:rPr>
          <w:rFonts w:ascii="宋体" w:cs="宋体" w:eastAsia="宋体" w:hAnsi="宋体"/>
          <w:sz w:val="24"/>
          <w:spacing w:val="0"/>
          <w:b w:val="on"/>
          <w:i w:val="off"/>
        </w:rPr>
        <w:t>反应机理示例（以硬脂酸钠为例）：</w:t>
      </w:r>
      <w:bookmarkEnd w:id="1008"/>
    </w:p>
    <w:p>
      <w:pPr>
        <w:pageBreakBefore w:val="off"/>
        <w:numPr>
          <w:ilvl w:val="0"/>
          <w:numId w:val="1"/>
        </w:numPr>
        <w:tabs/>
        <w:wordWrap w:val="on"/>
        <w:spacing w:after="0" w:before="160"/>
        <w:ind w:hanging="440" w:left="440" w:right="0"/>
        <w:jc w:val="left"/>
        <w:textAlignment w:val="auto"/>
      </w:pPr>
      <w:bookmarkStart w:id="1009" w:name=""/>
      <w:r>
        <w:t xml:space="preserve"> </w:t>
      </w:r>
      <m:oMath xmlns:m="http://schemas.openxmlformats.org/officeDocument/2006/math" xmlns:mml="http://www.w3.org/1998/Math/MathML">
        <m:r>
          <w:rPr>
            <w:rFonts w:ascii="Cambria Math" w:hAnsi="Cambria Math"/>
          </w:rPr>
          <m:t>2</m:t>
        </m:r>
        <m:sSub>
          <m:e>
            <m:r>
              <w:rPr>
                <w:rFonts w:ascii="Cambria Math" w:hAnsi="Cambria Math"/>
              </w:rPr>
              <m:t>C</m:t>
            </m:r>
          </m:e>
          <m:sub>
            <m:r>
              <w:rPr>
                <w:rFonts w:ascii="Cambria Math" w:hAnsi="Cambria Math"/>
              </w:rPr>
              <m:t>17</m:t>
            </m:r>
          </m:sub>
        </m:sSub>
        <m:sSub>
          <m:e>
            <m:r>
              <w:rPr>
                <w:rFonts w:ascii="Cambria Math" w:hAnsi="Cambria Math"/>
              </w:rPr>
              <m:t>H</m:t>
            </m:r>
          </m:e>
          <m:sub>
            <m:r>
              <w:rPr>
                <w:rFonts w:ascii="Cambria Math" w:hAnsi="Cambria Math"/>
              </w:rPr>
              <m:t>35</m:t>
            </m:r>
          </m:sub>
        </m:sSub>
        <m:r>
          <w:rPr>
            <w:rFonts w:ascii="Cambria Math" w:hAnsi="Cambria Math"/>
          </w:rPr>
          <m:t>CO</m:t>
        </m:r>
        <m:sSup>
          <m:e>
            <m:r>
              <w:rPr>
                <w:rFonts w:ascii="Cambria Math" w:hAnsi="Cambria Math"/>
              </w:rPr>
              <m:t>O</m:t>
            </m:r>
          </m:e>
          <m:sup>
            <m:r>
              <w:rPr>
                <w:rFonts w:ascii="Cambria Math" w:hAnsi="Cambria Math"/>
              </w:rPr>
              <m:t>-</m:t>
            </m:r>
          </m:sup>
        </m:sSup>
        <m:r>
          <w:rPr>
            <w:rFonts w:ascii="Cambria Math" w:hAnsi="Cambria Math"/>
          </w:rPr>
          <m:t>+C</m:t>
        </m:r>
        <m:sSup>
          <m:e>
            <m:r>
              <w:rPr>
                <w:rFonts w:ascii="Cambria Math" w:hAnsi="Cambria Math"/>
              </w:rPr>
              <m:t>a</m:t>
            </m:r>
          </m:e>
          <m:sup>
            <m:r>
              <w:rPr>
                <w:rFonts w:ascii="Cambria Math" w:hAnsi="Cambria Math"/>
              </w:rPr>
              <m:t>2+</m:t>
            </m:r>
          </m:sup>
        </m:sSup>
        <m:r>
          <w:rPr>
            <w:rFonts w:ascii="Cambria Math" w:hAnsi="Cambria Math"/>
          </w:rPr>
          <m:t>→</m:t>
        </m:r>
        <m:sSub>
          <m:e>
            <m:d>
              <m:dPr>
                <m:sepChr m:val=","/>
              </m:dPr>
              <m:e>
                <m:sSub>
                  <m:e>
                    <m:r>
                      <w:rPr>
                        <w:rFonts w:ascii="Cambria Math" w:hAnsi="Cambria Math"/>
                      </w:rPr>
                      <m:t>C</m:t>
                    </m:r>
                  </m:e>
                  <m:sub>
                    <m:r>
                      <w:rPr>
                        <w:rFonts w:ascii="Cambria Math" w:hAnsi="Cambria Math"/>
                      </w:rPr>
                      <m:t>17</m:t>
                    </m:r>
                  </m:sub>
                </m:sSub>
                <m:sSub>
                  <m:e>
                    <m:r>
                      <w:rPr>
                        <w:rFonts w:ascii="Cambria Math" w:hAnsi="Cambria Math"/>
                      </w:rPr>
                      <m:t>H</m:t>
                    </m:r>
                  </m:e>
                  <m:sub>
                    <m:r>
                      <w:rPr>
                        <w:rFonts w:ascii="Cambria Math" w:hAnsi="Cambria Math"/>
                      </w:rPr>
                      <m:t>35</m:t>
                    </m:r>
                  </m:sub>
                </m:sSub>
                <m:r>
                  <w:rPr>
                    <w:rFonts w:ascii="Cambria Math" w:hAnsi="Cambria Math"/>
                  </w:rPr>
                  <m:t>COO</m:t>
                </m:r>
              </m:e>
            </m:d>
          </m:e>
          <m:sub>
            <m:r>
              <w:rPr>
                <w:rFonts w:ascii="Cambria Math" w:hAnsi="Cambria Math"/>
              </w:rPr>
              <m:t>2</m:t>
            </m:r>
          </m:sub>
        </m:sSub>
        <m:r>
          <w:rPr>
            <w:rFonts w:ascii="Cambria Math" w:hAnsi="Cambria Math"/>
          </w:rPr>
          <m:t>Ca↓+2N</m:t>
        </m:r>
        <m:sSup>
          <m:e>
            <m:r>
              <w:rPr>
                <w:rFonts w:ascii="Cambria Math" w:hAnsi="Cambria Math"/>
              </w:rPr>
              <m:t>a</m:t>
            </m:r>
          </m:e>
          <m:sup>
            <m:r>
              <w:rPr>
                <w:rFonts w:ascii="Cambria Math" w:hAnsi="Cambria Math"/>
              </w:rPr>
              <m:t>+</m:t>
            </m:r>
          </m:sup>
        </m:sSup>
      </m:oMath>
      <w:bookmarkEnd w:id="1009"/>
    </w:p>
    <w:p>
      <w:pPr>
        <w:pageBreakBefore w:val="off"/>
        <w:numPr>
          <w:ilvl w:val="0"/>
          <w:numId w:val="1"/>
        </w:numPr>
        <w:tabs/>
        <w:wordWrap w:val="on"/>
        <w:spacing w:after="0" w:before="160"/>
        <w:ind w:hanging="440" w:left="440" w:right="0"/>
        <w:jc w:val="left"/>
        <w:textAlignment w:val="auto"/>
        <w:rPr>
          <w:sz w:val="24"/>
        </w:rPr>
      </w:pPr>
      <w:bookmarkStart w:id="1010" w:name=""/>
      <w:r>
        <w:rPr>
          <w:rFonts w:ascii="宋体" w:cs="宋体" w:eastAsia="宋体" w:hAnsi="宋体"/>
          <w:sz w:val="24"/>
          <w:spacing w:val="0"/>
          <w:b w:val="off"/>
          <w:i w:val="off"/>
        </w:rPr>
        <w:t>这些沉淀物不仅会堵塞切割液的喷嘴和管道，还会附着在金刚线表面，导致排屑不畅，增加切割阻力，最终造成硅片表面线痕和崩边。</w:t>
      </w:r>
      <w:bookmarkEnd w:id="1010"/>
    </w:p>
    <w:p>
      <w:pPr>
        <w:pageBreakBefore w:val="off"/>
        <w:numPr>
          <w:ilvl w:val="0"/>
          <w:numId w:val="1"/>
        </w:numPr>
        <w:tabs/>
        <w:wordWrap w:val="on"/>
        <w:spacing w:after="0" w:before="160"/>
        <w:ind w:hanging="440" w:left="440" w:right="0"/>
        <w:jc w:val="left"/>
        <w:textAlignment w:val="auto"/>
        <w:rPr>
          <w:sz w:val="24"/>
        </w:rPr>
      </w:pPr>
      <w:bookmarkStart w:id="1011" w:name=""/>
      <w:r>
        <w:rPr>
          <w:rFonts w:ascii="宋体" w:cs="宋体" w:eastAsia="宋体" w:hAnsi="宋体"/>
          <w:sz w:val="24"/>
          <w:spacing w:val="0"/>
          <w:b w:val="on"/>
          <w:i w:val="off"/>
        </w:rPr>
        <w:t>📉 润滑膜失效与摩擦系数上升</w:t>
      </w:r>
      <w:bookmarkEnd w:id="1011"/>
    </w:p>
    <w:p>
      <w:pPr>
        <w:pageBreakBefore w:val="off"/>
        <w:numPr>
          <w:ilvl w:val="0"/>
          <w:numId w:val="1"/>
        </w:numPr>
        <w:tabs/>
        <w:wordWrap w:val="on"/>
        <w:spacing w:after="0" w:before="160"/>
        <w:ind w:hanging="440" w:left="440" w:right="0"/>
        <w:jc w:val="left"/>
        <w:textAlignment w:val="auto"/>
        <w:rPr>
          <w:sz w:val="24"/>
        </w:rPr>
      </w:pPr>
      <w:bookmarkStart w:id="1012" w:name=""/>
      <w:r>
        <w:rPr>
          <w:rFonts w:ascii="宋体" w:cs="宋体" w:eastAsia="宋体" w:hAnsi="宋体"/>
          <w:sz w:val="24"/>
          <w:spacing w:val="0"/>
          <w:b w:val="off"/>
          <w:i w:val="off"/>
        </w:rPr>
        <w:t>优质的切割液能在硅片与金刚线之间形成极薄的吸附膜。然而，金属离子会破坏表面活性剂分子的定向排列，削弱润滑膜的强度。摩擦系数的增加直接导致切削热无法及时导出，局部高温可能引起硅片热应力裂纹，甚至导致金刚线断线。</w:t>
      </w:r>
      <w:bookmarkEnd w:id="1012"/>
    </w:p>
    <w:p>
      <w:pPr>
        <w:pageBreakBefore w:val="off"/>
        <w:numPr>
          <w:ilvl w:val="0"/>
          <w:numId w:val="1"/>
        </w:numPr>
        <w:tabs/>
        <w:wordWrap w:val="on"/>
        <w:spacing w:after="0" w:before="160"/>
        <w:ind w:hanging="440" w:left="440" w:right="0"/>
        <w:jc w:val="left"/>
        <w:textAlignment w:val="auto"/>
        <w:rPr>
          <w:sz w:val="24"/>
        </w:rPr>
      </w:pPr>
      <w:bookmarkStart w:id="1013" w:name=""/>
      <w:r>
        <w:rPr>
          <w:rFonts w:ascii="宋体" w:cs="宋体" w:eastAsia="宋体" w:hAnsi="宋体"/>
          <w:sz w:val="24"/>
          <w:spacing w:val="0"/>
          <w:b w:val="on"/>
          <w:i w:val="off"/>
        </w:rPr>
        <w:t>🗑️ 微粉团聚与清洗困难</w:t>
      </w:r>
      <w:bookmarkEnd w:id="1013"/>
    </w:p>
    <w:p>
      <w:pPr>
        <w:pageBreakBefore w:val="off"/>
        <w:numPr>
          <w:ilvl w:val="0"/>
          <w:numId w:val="1"/>
        </w:numPr>
        <w:tabs/>
        <w:wordWrap w:val="on"/>
        <w:spacing w:after="0" w:before="160"/>
        <w:ind w:hanging="440" w:left="440" w:right="0"/>
        <w:jc w:val="left"/>
        <w:textAlignment w:val="auto"/>
        <w:rPr>
          <w:sz w:val="24"/>
        </w:rPr>
      </w:pPr>
      <w:bookmarkStart w:id="1014" w:name=""/>
      <w:r>
        <w:rPr>
          <w:rFonts w:ascii="宋体" w:cs="宋体" w:eastAsia="宋体" w:hAnsi="宋体"/>
          <w:sz w:val="24"/>
          <w:spacing w:val="0"/>
          <w:b w:val="off"/>
          <w:i w:val="off"/>
        </w:rPr>
        <w:t>硬水中的离子会压缩双电层，导致切割产生的硅微粉发生团聚沉降，难以被切割液带走。这不仅影响切割效率，还会在硅片表面形成顽固的污渍，增加后续清洗工序的负担（COD升高）。</w:t>
      </w:r>
      <w:bookmarkEnd w:id="1014"/>
    </w:p>
    <w:p>
      <w:pPr>
        <w:pageBreakBefore w:val="off"/>
        <w:tabs/>
        <w:wordWrap w:val="on"/>
        <w:spacing w:after="0" w:before="160"/>
        <w:ind w:left="0" w:right="0"/>
        <w:jc w:val="left"/>
        <w:textAlignment w:val="auto"/>
        <w:rPr>
          <w:sz w:val="24"/>
        </w:rPr>
      </w:pPr>
      <w:bookmarkStart w:id="1015" w:name=""/>
      <w:r>
        <w:rPr>
          <w:rFonts w:ascii="宋体" w:cs="宋体" w:eastAsia="宋体" w:hAnsi="宋体"/>
          <w:sz w:val="24"/>
          <w:spacing w:val="0"/>
          <w:b w:val="on"/>
          <w:i w:val="off"/>
        </w:rPr>
        <w:t>💧 技术防线：超纯水/去离子水的“净化”逻辑</w:t>
      </w:r>
      <w:bookmarkEnd w:id="1015"/>
    </w:p>
    <w:p>
      <w:pPr>
        <w:pageBreakBefore w:val="off"/>
        <w:tabs/>
        <w:wordWrap w:val="on"/>
        <w:spacing w:after="0" w:before="160"/>
        <w:ind w:left="0" w:right="0"/>
        <w:jc w:val="left"/>
        <w:textAlignment w:val="auto"/>
        <w:rPr>
          <w:sz w:val="24"/>
        </w:rPr>
      </w:pPr>
      <w:bookmarkStart w:id="1016" w:name=""/>
      <w:r>
        <w:rPr>
          <w:rFonts w:ascii="宋体" w:cs="宋体" w:eastAsia="宋体" w:hAnsi="宋体"/>
          <w:sz w:val="24"/>
          <w:spacing w:val="0"/>
          <w:b w:val="off"/>
          <w:i w:val="off"/>
        </w:rPr>
        <w:t>为了消除水质带来的负面影响，现代光伏切片工艺已全面转向使用</w:t>
      </w:r>
      <w:r>
        <w:rPr>
          <w:rFonts w:ascii="宋体" w:cs="宋体" w:eastAsia="宋体" w:hAnsi="宋体"/>
          <w:sz w:val="24"/>
          <w:spacing w:val="0"/>
          <w:b w:val="on"/>
          <w:i w:val="off"/>
        </w:rPr>
        <w:t>去离子水</w:t>
      </w:r>
      <w:r>
        <w:rPr>
          <w:rFonts w:ascii="宋体" w:cs="宋体" w:eastAsia="宋体" w:hAnsi="宋体"/>
          <w:sz w:val="24"/>
          <w:spacing w:val="0"/>
          <w:b w:val="off"/>
          <w:i w:val="off"/>
        </w:rPr>
        <w:t>或</w:t>
      </w:r>
      <w:r>
        <w:rPr>
          <w:rFonts w:ascii="宋体" w:cs="宋体" w:eastAsia="宋体" w:hAnsi="宋体"/>
          <w:sz w:val="24"/>
          <w:spacing w:val="0"/>
          <w:b w:val="on"/>
          <w:i w:val="off"/>
        </w:rPr>
        <w:t>超纯水</w:t>
      </w:r>
      <w:r>
        <w:rPr>
          <w:rFonts w:ascii="宋体" w:cs="宋体" w:eastAsia="宋体" w:hAnsi="宋体"/>
          <w:sz w:val="24"/>
          <w:spacing w:val="0"/>
          <w:b w:val="off"/>
          <w:i w:val="off"/>
        </w:rPr>
        <w:t>进行切割液配制。</w:t>
      </w:r>
      <w:bookmarkEnd w:id="1016"/>
    </w:p>
    <w:p>
      <w:pPr>
        <w:pageBreakBefore w:val="off"/>
        <w:numPr>
          <w:ilvl w:val="0"/>
          <w:numId w:val="2"/>
        </w:numPr>
        <w:tabs/>
        <w:wordWrap w:val="on"/>
        <w:spacing w:after="0" w:before="160"/>
        <w:ind w:hanging="440" w:left="440" w:right="0"/>
        <w:jc w:val="left"/>
        <w:textAlignment w:val="auto"/>
        <w:rPr>
          <w:sz w:val="24"/>
        </w:rPr>
      </w:pPr>
      <w:bookmarkStart w:id="1017" w:name=""/>
      <w:r>
        <w:rPr>
          <w:rFonts w:ascii="宋体" w:cs="宋体" w:eastAsia="宋体" w:hAnsi="宋体"/>
          <w:sz w:val="24"/>
          <w:spacing w:val="0"/>
          <w:b w:val="on"/>
          <w:i w:val="off"/>
        </w:rPr>
        <w:t>⚡ 电阻率指标</w:t>
      </w:r>
      <w:r>
        <w:rPr>
          <w:rFonts w:ascii="宋体" w:cs="宋体" w:eastAsia="宋体" w:hAnsi="宋体"/>
          <w:sz w:val="24"/>
          <w:spacing w:val="0"/>
          <w:b w:val="off"/>
          <w:i w:val="off"/>
        </w:rPr>
        <w:t>：通常要求配制用水的电阻率≥10 MΩ·cm，高端工艺甚至要求达到18.2 MΩ·cm。这意味着水中的导电离子（Ca²⁺, Mg²⁺, Fe³⁺等）已被几乎完全去除。</w:t>
      </w:r>
      <w:bookmarkEnd w:id="1017"/>
    </w:p>
    <w:p>
      <w:pPr>
        <w:pageBreakBefore w:val="off"/>
        <w:numPr>
          <w:ilvl w:val="0"/>
          <w:numId w:val="2"/>
        </w:numPr>
        <w:tabs/>
        <w:wordWrap w:val="on"/>
        <w:spacing w:after="0" w:before="160"/>
        <w:ind w:hanging="440" w:left="440" w:right="0"/>
        <w:jc w:val="left"/>
        <w:textAlignment w:val="auto"/>
        <w:rPr>
          <w:sz w:val="24"/>
        </w:rPr>
      </w:pPr>
      <w:bookmarkStart w:id="1018" w:name=""/>
      <w:r>
        <w:rPr>
          <w:rFonts w:ascii="宋体" w:cs="宋体" w:eastAsia="宋体" w:hAnsi="宋体"/>
          <w:sz w:val="24"/>
          <w:spacing w:val="0"/>
          <w:b w:val="on"/>
          <w:i w:val="off"/>
        </w:rPr>
        <w:t>🛡️ 核心作用</w:t>
      </w:r>
      <w:r>
        <w:rPr>
          <w:rFonts w:ascii="宋体" w:cs="宋体" w:eastAsia="宋体" w:hAnsi="宋体"/>
          <w:sz w:val="24"/>
          <w:spacing w:val="0"/>
          <w:b w:val="off"/>
          <w:i w:val="off"/>
        </w:rPr>
        <w:t>：</w:t>
      </w:r>
      <w:bookmarkEnd w:id="1018"/>
    </w:p>
    <w:p>
      <w:pPr>
        <w:pageBreakBefore w:val="off"/>
        <w:numPr>
          <w:ilvl w:val="1"/>
          <w:numId w:val="3"/>
        </w:numPr>
        <w:tabs/>
        <w:wordWrap w:val="on"/>
        <w:spacing w:after="0" w:before="160"/>
        <w:ind w:hanging="440" w:left="880" w:right="0"/>
        <w:jc w:val="left"/>
        <w:textAlignment w:val="auto"/>
        <w:rPr>
          <w:sz w:val="24"/>
        </w:rPr>
      </w:pPr>
      <w:bookmarkStart w:id="1019" w:name=""/>
      <w:r>
        <w:rPr>
          <w:rFonts w:ascii="宋体" w:cs="宋体" w:eastAsia="宋体" w:hAnsi="宋体"/>
          <w:sz w:val="24"/>
          <w:spacing w:val="0"/>
          <w:b w:val="on"/>
          <w:i w:val="off"/>
        </w:rPr>
        <w:t>化学惰性</w:t>
      </w:r>
      <w:r>
        <w:rPr>
          <w:rFonts w:ascii="宋体" w:cs="宋体" w:eastAsia="宋体" w:hAnsi="宋体"/>
          <w:sz w:val="24"/>
          <w:spacing w:val="0"/>
          <w:b w:val="off"/>
          <w:i w:val="off"/>
        </w:rPr>
        <w:t>：纯水不与切割液成分发生反应，确保配方效能100%发挥。</w:t>
      </w:r>
      <w:bookmarkEnd w:id="1019"/>
    </w:p>
    <w:p>
      <w:pPr>
        <w:pageBreakBefore w:val="off"/>
        <w:numPr>
          <w:ilvl w:val="1"/>
          <w:numId w:val="3"/>
        </w:numPr>
        <w:tabs/>
        <w:wordWrap w:val="on"/>
        <w:spacing w:after="0" w:before="160"/>
        <w:ind w:hanging="440" w:left="880" w:right="0"/>
        <w:jc w:val="left"/>
        <w:textAlignment w:val="auto"/>
        <w:rPr>
          <w:sz w:val="24"/>
        </w:rPr>
      </w:pPr>
      <w:bookmarkStart w:id="1020" w:name=""/>
      <w:r>
        <w:rPr>
          <w:rFonts w:ascii="宋体" w:cs="宋体" w:eastAsia="宋体" w:hAnsi="宋体"/>
          <w:sz w:val="24"/>
          <w:spacing w:val="0"/>
          <w:b w:val="on"/>
          <w:i w:val="off"/>
        </w:rPr>
        <w:t>极致冷却</w:t>
      </w:r>
      <w:r>
        <w:rPr>
          <w:rFonts w:ascii="宋体" w:cs="宋体" w:eastAsia="宋体" w:hAnsi="宋体"/>
          <w:sz w:val="24"/>
          <w:spacing w:val="0"/>
          <w:b w:val="off"/>
          <w:i w:val="off"/>
        </w:rPr>
        <w:t>：纯水比热容大，且无杂质干扰，热传导效率更高，能有效控制切割区温度（通常控制在25±0.5℃）。</w:t>
      </w:r>
      <w:bookmarkEnd w:id="1020"/>
    </w:p>
    <w:p>
      <w:pPr>
        <w:pageBreakBefore w:val="off"/>
        <w:numPr>
          <w:ilvl w:val="1"/>
          <w:numId w:val="3"/>
        </w:numPr>
        <w:tabs/>
        <w:wordWrap w:val="on"/>
        <w:spacing w:after="0" w:before="160"/>
        <w:ind w:hanging="440" w:left="880" w:right="0"/>
        <w:jc w:val="left"/>
        <w:textAlignment w:val="auto"/>
        <w:rPr>
          <w:sz w:val="24"/>
        </w:rPr>
      </w:pPr>
      <w:bookmarkStart w:id="1021" w:name=""/>
      <w:r>
        <w:rPr>
          <w:rFonts w:ascii="宋体" w:cs="宋体" w:eastAsia="宋体" w:hAnsi="宋体"/>
          <w:sz w:val="24"/>
          <w:spacing w:val="0"/>
          <w:b w:val="on"/>
          <w:i w:val="off"/>
        </w:rPr>
        <w:t>零残留</w:t>
      </w:r>
      <w:r>
        <w:rPr>
          <w:rFonts w:ascii="宋体" w:cs="宋体" w:eastAsia="宋体" w:hAnsi="宋体"/>
          <w:sz w:val="24"/>
          <w:spacing w:val="0"/>
          <w:b w:val="off"/>
          <w:i w:val="off"/>
        </w:rPr>
        <w:t>：切割后水分挥发不留痕迹，极大提升了硅片表面的洁净度。</w:t>
      </w:r>
      <w:bookmarkEnd w:id="1021"/>
    </w:p>
    <w:p>
      <w:pPr>
        <w:pageBreakBefore w:val="off"/>
        <w:tabs/>
        <w:wordWrap w:val="on"/>
        <w:spacing w:after="0" w:before="160"/>
        <w:ind w:left="0" w:right="0"/>
        <w:jc w:val="left"/>
        <w:textAlignment w:val="auto"/>
        <w:rPr>
          <w:sz w:val="24"/>
        </w:rPr>
      </w:pPr>
      <w:bookmarkStart w:id="1022" w:name=""/>
      <w:r>
        <w:rPr>
          <w:rFonts w:ascii="宋体" w:cs="宋体" w:eastAsia="宋体" w:hAnsi="宋体"/>
          <w:sz w:val="24"/>
          <w:spacing w:val="0"/>
          <w:b w:val="on"/>
          <w:i w:val="off"/>
        </w:rPr>
        <w:t>🔧 运维核心：从“源头控制”到“过程管理”</w:t>
      </w:r>
      <w:bookmarkEnd w:id="1022"/>
    </w:p>
    <w:p>
      <w:pPr>
        <w:pageBreakBefore w:val="off"/>
        <w:tabs/>
        <w:wordWrap w:val="on"/>
        <w:spacing w:after="0" w:before="160"/>
        <w:ind w:left="0" w:right="0"/>
        <w:jc w:val="left"/>
        <w:textAlignment w:val="auto"/>
        <w:rPr>
          <w:sz w:val="24"/>
        </w:rPr>
      </w:pPr>
      <w:bookmarkStart w:id="1023" w:name=""/>
      <w:r>
        <w:rPr>
          <w:rFonts w:ascii="宋体" w:cs="宋体" w:eastAsia="宋体" w:hAnsi="宋体"/>
          <w:sz w:val="24"/>
          <w:spacing w:val="0"/>
          <w:b w:val="off"/>
          <w:i w:val="off"/>
        </w:rPr>
        <w:t>除了选用高纯度水源，切割液循环系统的维护同样关键。</w:t>
      </w:r>
      <w:bookmarkEnd w:id="1023"/>
    </w:p>
    <w:p>
      <w:pPr>
        <w:pageBreakBefore w:val="off"/>
        <w:numPr>
          <w:ilvl w:val="0"/>
          <w:numId w:val="4"/>
        </w:numPr>
        <w:tabs/>
        <w:wordWrap w:val="on"/>
        <w:spacing w:after="0" w:before="160"/>
        <w:ind w:hanging="440" w:left="440" w:right="0"/>
        <w:jc w:val="left"/>
        <w:textAlignment w:val="auto"/>
        <w:rPr>
          <w:sz w:val="24"/>
        </w:rPr>
      </w:pPr>
      <w:bookmarkStart w:id="1024" w:name=""/>
      <w:r>
        <w:rPr>
          <w:rFonts w:ascii="宋体" w:cs="宋体" w:eastAsia="宋体" w:hAnsi="宋体"/>
          <w:sz w:val="24"/>
          <w:spacing w:val="0"/>
          <w:b w:val="on"/>
          <w:i w:val="off"/>
        </w:rPr>
        <w:t>📊 在线水质监测</w:t>
      </w:r>
      <w:r>
        <w:rPr>
          <w:rFonts w:ascii="宋体" w:cs="宋体" w:eastAsia="宋体" w:hAnsi="宋体"/>
          <w:sz w:val="24"/>
          <w:spacing w:val="0"/>
          <w:b w:val="off"/>
          <w:i w:val="off"/>
        </w:rPr>
        <w:t>：在配液罐和循环槽安装电导率/电阻率在线监测仪。一旦电导率异常升高（如超过5μS/cm），系统自动报警并提示补加纯水或更换工作液。</w:t>
      </w:r>
      <w:bookmarkEnd w:id="1024"/>
    </w:p>
    <w:p>
      <w:pPr>
        <w:pageBreakBefore w:val="off"/>
        <w:numPr>
          <w:ilvl w:val="0"/>
          <w:numId w:val="4"/>
        </w:numPr>
        <w:tabs/>
        <w:wordWrap w:val="on"/>
        <w:spacing w:after="0" w:before="160"/>
        <w:ind w:hanging="440" w:left="440" w:right="0"/>
        <w:jc w:val="left"/>
        <w:textAlignment w:val="auto"/>
        <w:rPr>
          <w:sz w:val="24"/>
        </w:rPr>
      </w:pPr>
      <w:bookmarkStart w:id="1025" w:name=""/>
      <w:r>
        <w:rPr>
          <w:rFonts w:ascii="宋体" w:cs="宋体" w:eastAsia="宋体" w:hAnsi="宋体"/>
          <w:sz w:val="24"/>
          <w:spacing w:val="0"/>
          <w:b w:val="on"/>
          <w:i w:val="off"/>
        </w:rPr>
        <w:t>🌡️ 恒温控制</w:t>
      </w:r>
      <w:r>
        <w:rPr>
          <w:rFonts w:ascii="宋体" w:cs="宋体" w:eastAsia="宋体" w:hAnsi="宋体"/>
          <w:sz w:val="24"/>
          <w:spacing w:val="0"/>
          <w:b w:val="off"/>
          <w:i w:val="off"/>
        </w:rPr>
        <w:t>：利用热泵或冷水机组将水温严格控制在工艺范围内。温度波动不仅影响切割液的粘度，还会导致硅片产生热胀冷缩，影响TTV（总厚度偏差）。</w:t>
      </w:r>
      <w:bookmarkEnd w:id="1025"/>
    </w:p>
    <w:p>
      <w:pPr>
        <w:pageBreakBefore w:val="off"/>
        <w:numPr>
          <w:ilvl w:val="0"/>
          <w:numId w:val="4"/>
        </w:numPr>
        <w:tabs/>
        <w:wordWrap w:val="on"/>
        <w:spacing w:after="0" w:before="160"/>
        <w:ind w:hanging="440" w:left="440" w:right="0"/>
        <w:jc w:val="left"/>
        <w:textAlignment w:val="auto"/>
        <w:rPr>
          <w:sz w:val="24"/>
        </w:rPr>
      </w:pPr>
      <w:bookmarkStart w:id="1026" w:name=""/>
      <w:r>
        <w:rPr>
          <w:rFonts w:ascii="宋体" w:cs="宋体" w:eastAsia="宋体" w:hAnsi="宋体"/>
          <w:sz w:val="24"/>
          <w:spacing w:val="0"/>
          <w:b w:val="on"/>
          <w:i w:val="off"/>
        </w:rPr>
        <w:t>🧹 定期排污与过滤</w:t>
      </w:r>
      <w:r>
        <w:rPr>
          <w:rFonts w:ascii="宋体" w:cs="宋体" w:eastAsia="宋体" w:hAnsi="宋体"/>
          <w:sz w:val="24"/>
          <w:spacing w:val="0"/>
          <w:b w:val="off"/>
          <w:i w:val="off"/>
        </w:rPr>
        <w:t>：即使使用纯水，切割产生的硅粉也会增加悬浮物浓度。需定期通过精密过滤器（如1μm精度）去除杂质，防止微粉划伤硅片。</w:t>
      </w:r>
      <w:bookmarkEnd w:id="1026"/>
    </w:p>
    <w:p>
      <w:pPr>
        <w:pageBreakBefore w:val="off"/>
        <w:tabs/>
        <w:wordWrap w:val="on"/>
        <w:spacing w:after="0" w:before="160"/>
        <w:ind w:left="0" w:right="0"/>
        <w:jc w:val="left"/>
        <w:textAlignment w:val="auto"/>
        <w:rPr>
          <w:sz w:val="24"/>
        </w:rPr>
      </w:pPr>
      <w:bookmarkStart w:id="1027" w:name=""/>
      <w:r>
        <w:rPr>
          <w:rFonts w:ascii="宋体" w:cs="宋体" w:eastAsia="宋体" w:hAnsi="宋体"/>
          <w:sz w:val="24"/>
          <w:spacing w:val="0"/>
          <w:b w:val="on"/>
          <w:i w:val="off"/>
        </w:rPr>
        <w:t>📊 方案价值：数据见证良率飞跃</w:t>
      </w:r>
      <w:bookmarkEnd w:id="1027"/>
    </w:p>
    <w:p>
      <w:pPr>
        <w:pageBreakBefore w:val="off"/>
        <w:tabs/>
        <w:wordWrap w:val="on"/>
        <w:spacing w:after="0" w:before="160"/>
        <w:ind w:left="0" w:right="0"/>
        <w:jc w:val="left"/>
        <w:textAlignment w:val="auto"/>
        <w:rPr>
          <w:sz w:val="24"/>
        </w:rPr>
      </w:pPr>
      <w:bookmarkStart w:id="1028" w:name=""/>
      <w:r>
        <w:rPr>
          <w:rFonts w:ascii="宋体" w:cs="宋体" w:eastAsia="宋体" w:hAnsi="宋体"/>
          <w:sz w:val="24"/>
          <w:spacing w:val="0"/>
          <w:b w:val="off"/>
          <w:i w:val="off"/>
        </w:rPr>
        <w:t>通过实施严格的去离子水配液方案，光伏企业可获得显著的经济效益：</w:t>
      </w:r>
      <w:bookmarkEnd w:id="1028"/>
    </w:p>
    <w:tbl>
      <w:tblPr>
        <w:tblW w:type="auto" w:w="0"/>
        <w:jc w:val="start"/>
        <w:tblBorders>
          <w:top w:color="auto" w:space="0" w:sz="8" w:val="single"/>
          <w:left w:color="auto" w:space="0" w:sz="8" w:val="single"/>
          <w:bottom w:color="auto" w:space="0" w:sz="8" w:val="single"/>
          <w:right w:color="auto" w:space="0" w:sz="8" w:val="single"/>
          <w:insideH w:color="auto" w:space="0" w:sz="8" w:val="single"/>
          <w:insideV w:color="auto" w:space="0" w:sz="8" w:val="single"/>
        </w:tblBorders>
        <w:tblLayout w:type="fixed"/>
        <w:tblCellMar>
          <w:top w:type="dxa" w:w="0"/>
          <w:left w:type="dxa" w:w="0"/>
          <w:bottom w:type="dxa" w:w="0"/>
          <w:right w:type="dxa" w:w="0"/>
        </w:tblCellMar>
      </w:tblPr>
      <w:tblGrid>
        <w:gridCol w:w="2060"/>
        <w:gridCol w:w="2060"/>
        <w:gridCol w:w="2060"/>
        <w:gridCol w:w="2060"/>
      </w:tblGrid>
      <w:tr>
        <w:tc>
          <w:tcPr>
            <w:tcW w:type="dxa" w:w="2060"/>
          </w:tcPr>
          <w:p>
            <w:pPr>
              <w:pageBreakBefore w:val="off"/>
              <w:tabs/>
              <w:wordWrap w:val="on"/>
              <w:spacing w:after="0" w:before="0"/>
              <w:ind w:firstLine="0" w:hanging="0" w:left="0" w:right="0"/>
              <w:jc w:val="left"/>
              <w:textAlignment w:val="auto"/>
              <w:rPr>
                <w:sz w:val="24"/>
              </w:rPr>
            </w:pPr>
            <w:bookmarkStart w:id="1029" w:name=""/>
            <w:r>
              <w:rPr>
                <w:rFonts w:ascii="宋体" w:cs="宋体" w:eastAsia="宋体" w:hAnsi="宋体"/>
                <w:sz w:val="24"/>
                <w:spacing w:val="0"/>
                <w:b w:val="off"/>
                <w:i w:val="off"/>
              </w:rPr>
              <w:t>维度</w:t>
            </w:r>
            <w:bookmarkEnd w:id="1029"/>
          </w:p>
        </w:tc>
        <w:tc>
          <w:tcPr>
            <w:tcW w:type="dxa" w:w="2060"/>
          </w:tcPr>
          <w:p>
            <w:pPr>
              <w:pageBreakBefore w:val="off"/>
              <w:tabs/>
              <w:wordWrap w:val="on"/>
              <w:spacing w:after="0" w:before="0"/>
              <w:ind w:firstLine="0" w:hanging="0" w:left="0" w:right="0"/>
              <w:jc w:val="left"/>
              <w:textAlignment w:val="auto"/>
              <w:rPr>
                <w:sz w:val="24"/>
              </w:rPr>
            </w:pPr>
            <w:bookmarkStart w:id="1030" w:name=""/>
            <w:r>
              <w:rPr>
                <w:rFonts w:ascii="宋体" w:cs="宋体" w:eastAsia="宋体" w:hAnsi="宋体"/>
                <w:sz w:val="24"/>
                <w:spacing w:val="0"/>
                <w:b w:val="off"/>
                <w:i w:val="off"/>
              </w:rPr>
              <w:t>🚫 普通水/软化水配制</w:t>
            </w:r>
            <w:bookmarkEnd w:id="1030"/>
          </w:p>
        </w:tc>
        <w:tc>
          <w:tcPr>
            <w:tcW w:type="dxa" w:w="2060"/>
          </w:tcPr>
          <w:p>
            <w:pPr>
              <w:pageBreakBefore w:val="off"/>
              <w:tabs/>
              <w:wordWrap w:val="on"/>
              <w:spacing w:after="0" w:before="0"/>
              <w:ind w:firstLine="0" w:hanging="0" w:left="0" w:right="0"/>
              <w:jc w:val="left"/>
              <w:textAlignment w:val="auto"/>
              <w:rPr>
                <w:sz w:val="24"/>
              </w:rPr>
            </w:pPr>
            <w:bookmarkStart w:id="1031" w:name=""/>
            <w:r>
              <w:rPr>
                <w:rFonts w:ascii="宋体" w:cs="宋体" w:eastAsia="宋体" w:hAnsi="宋体"/>
                <w:sz w:val="24"/>
                <w:spacing w:val="0"/>
                <w:b w:val="off"/>
                <w:i w:val="off"/>
              </w:rPr>
              <w:t>✅ 去离子水/超纯水配制</w:t>
            </w:r>
            <w:bookmarkEnd w:id="1031"/>
          </w:p>
        </w:tc>
        <w:tc>
          <w:tcPr>
            <w:tcW w:type="dxa" w:w="2060"/>
          </w:tcPr>
          <w:p>
            <w:pPr>
              <w:pageBreakBefore w:val="off"/>
              <w:tabs/>
              <w:wordWrap w:val="on"/>
              <w:spacing w:after="0" w:before="0"/>
              <w:ind w:firstLine="0" w:hanging="0" w:left="0" w:right="0"/>
              <w:jc w:val="left"/>
              <w:textAlignment w:val="auto"/>
              <w:rPr>
                <w:sz w:val="24"/>
              </w:rPr>
            </w:pPr>
            <w:bookmarkStart w:id="1032" w:name=""/>
            <w:r>
              <w:rPr>
                <w:rFonts w:ascii="宋体" w:cs="宋体" w:eastAsia="宋体" w:hAnsi="宋体"/>
                <w:sz w:val="24"/>
                <w:spacing w:val="0"/>
                <w:b w:val="off"/>
                <w:i w:val="off"/>
              </w:rPr>
              <w:t>💡 效益分析</w:t>
            </w:r>
            <w:bookmarkEnd w:id="1032"/>
          </w:p>
        </w:tc>
      </w:tr>
      <w:tr>
        <w:tc>
          <w:tcPr>
            <w:tcW w:type="dxa" w:w="2060"/>
          </w:tcPr>
          <w:p>
            <w:pPr>
              <w:pageBreakBefore w:val="off"/>
              <w:tabs/>
              <w:wordWrap w:val="on"/>
              <w:spacing w:after="0" w:before="0"/>
              <w:ind w:firstLine="0" w:hanging="0" w:left="0" w:right="0"/>
              <w:jc w:val="left"/>
              <w:textAlignment w:val="auto"/>
              <w:rPr>
                <w:sz w:val="24"/>
              </w:rPr>
            </w:pPr>
            <w:bookmarkStart w:id="1033" w:name=""/>
            <w:r>
              <w:rPr>
                <w:rFonts w:ascii="宋体" w:cs="宋体" w:eastAsia="宋体" w:hAnsi="宋体"/>
                <w:sz w:val="24"/>
                <w:spacing w:val="0"/>
                <w:b w:val="on"/>
                <w:i w:val="off"/>
              </w:rPr>
              <w:t>📉 切割良率</w:t>
            </w:r>
            <w:bookmarkEnd w:id="1033"/>
          </w:p>
        </w:tc>
        <w:tc>
          <w:tcPr>
            <w:tcW w:type="dxa" w:w="2060"/>
          </w:tcPr>
          <w:p>
            <w:pPr>
              <w:pageBreakBefore w:val="off"/>
              <w:tabs/>
              <w:wordWrap w:val="on"/>
              <w:spacing w:after="0" w:before="0"/>
              <w:ind w:firstLine="0" w:hanging="0" w:left="0" w:right="0"/>
              <w:jc w:val="left"/>
              <w:textAlignment w:val="auto"/>
              <w:rPr>
                <w:sz w:val="24"/>
              </w:rPr>
            </w:pPr>
            <w:bookmarkStart w:id="1034" w:name=""/>
            <w:r>
              <w:rPr>
                <w:rFonts w:ascii="宋体" w:cs="宋体" w:eastAsia="宋体" w:hAnsi="宋体"/>
                <w:sz w:val="24"/>
                <w:spacing w:val="0"/>
                <w:b w:val="off"/>
                <w:i w:val="off"/>
              </w:rPr>
              <w:t>易出现线痕、崩边，良率波动</w:t>
            </w:r>
            <w:bookmarkEnd w:id="1034"/>
          </w:p>
        </w:tc>
        <w:tc>
          <w:tcPr>
            <w:tcW w:type="dxa" w:w="2060"/>
          </w:tcPr>
          <w:p>
            <w:pPr>
              <w:pageBreakBefore w:val="off"/>
              <w:tabs/>
              <w:wordWrap w:val="on"/>
              <w:spacing w:after="0" w:before="0"/>
              <w:ind w:firstLine="0" w:hanging="0" w:left="0" w:right="0"/>
              <w:jc w:val="left"/>
              <w:textAlignment w:val="auto"/>
              <w:rPr>
                <w:sz w:val="24"/>
              </w:rPr>
            </w:pPr>
            <w:bookmarkStart w:id="1035" w:name=""/>
            <w:r>
              <w:rPr>
                <w:rFonts w:ascii="宋体" w:cs="宋体" w:eastAsia="宋体" w:hAnsi="宋体"/>
                <w:sz w:val="24"/>
                <w:spacing w:val="0"/>
                <w:b w:val="on"/>
                <w:i w:val="off"/>
              </w:rPr>
              <w:t>表面光洁无瑕疵</w:t>
            </w:r>
            <w:r>
              <w:rPr>
                <w:rFonts w:ascii="宋体" w:cs="宋体" w:eastAsia="宋体" w:hAnsi="宋体"/>
                <w:sz w:val="24"/>
                <w:spacing w:val="0"/>
                <w:b w:val="off"/>
                <w:i w:val="off"/>
              </w:rPr>
              <w:t>，良率稳定在99.5%以上</w:t>
            </w:r>
            <w:bookmarkEnd w:id="1035"/>
          </w:p>
        </w:tc>
        <w:tc>
          <w:tcPr>
            <w:tcW w:type="dxa" w:w="2060"/>
          </w:tcPr>
          <w:p>
            <w:pPr>
              <w:pageBreakBefore w:val="off"/>
              <w:tabs/>
              <w:wordWrap w:val="on"/>
              <w:spacing w:after="0" w:before="0"/>
              <w:ind w:firstLine="0" w:hanging="0" w:left="0" w:right="0"/>
              <w:jc w:val="left"/>
              <w:textAlignment w:val="auto"/>
              <w:rPr>
                <w:sz w:val="24"/>
              </w:rPr>
            </w:pPr>
            <w:bookmarkStart w:id="1036" w:name=""/>
            <w:r>
              <w:rPr>
                <w:rFonts w:ascii="宋体" w:cs="宋体" w:eastAsia="宋体" w:hAnsi="宋体"/>
                <w:sz w:val="24"/>
                <w:spacing w:val="0"/>
                <w:b w:val="off"/>
                <w:i w:val="off"/>
              </w:rPr>
              <w:t>减少报废，直接提升产出</w:t>
            </w:r>
            <w:bookmarkEnd w:id="1036"/>
          </w:p>
        </w:tc>
      </w:tr>
      <w:tr>
        <w:tc>
          <w:tcPr>
            <w:tcW w:type="dxa" w:w="2060"/>
          </w:tcPr>
          <w:p>
            <w:pPr>
              <w:pageBreakBefore w:val="off"/>
              <w:tabs/>
              <w:wordWrap w:val="on"/>
              <w:spacing w:after="0" w:before="0"/>
              <w:ind w:firstLine="0" w:hanging="0" w:left="0" w:right="0"/>
              <w:jc w:val="left"/>
              <w:textAlignment w:val="auto"/>
              <w:rPr>
                <w:sz w:val="24"/>
              </w:rPr>
            </w:pPr>
            <w:bookmarkStart w:id="1037" w:name=""/>
            <w:r>
              <w:rPr>
                <w:rFonts w:ascii="宋体" w:cs="宋体" w:eastAsia="宋体" w:hAnsi="宋体"/>
                <w:sz w:val="24"/>
                <w:spacing w:val="0"/>
                <w:b w:val="on"/>
                <w:i w:val="off"/>
              </w:rPr>
              <w:t>🧵 断线率</w:t>
            </w:r>
            <w:bookmarkEnd w:id="1037"/>
          </w:p>
        </w:tc>
        <w:tc>
          <w:tcPr>
            <w:tcW w:type="dxa" w:w="2060"/>
          </w:tcPr>
          <w:p>
            <w:pPr>
              <w:pageBreakBefore w:val="off"/>
              <w:tabs/>
              <w:wordWrap w:val="on"/>
              <w:spacing w:after="0" w:before="0"/>
              <w:ind w:firstLine="0" w:hanging="0" w:left="0" w:right="0"/>
              <w:jc w:val="left"/>
              <w:textAlignment w:val="auto"/>
              <w:rPr>
                <w:sz w:val="24"/>
              </w:rPr>
            </w:pPr>
            <w:bookmarkStart w:id="1038" w:name=""/>
            <w:r>
              <w:rPr>
                <w:rFonts w:ascii="宋体" w:cs="宋体" w:eastAsia="宋体" w:hAnsi="宋体"/>
                <w:sz w:val="24"/>
                <w:spacing w:val="0"/>
                <w:b w:val="off"/>
                <w:i w:val="off"/>
              </w:rPr>
              <w:t>润滑性差，断线风险高</w:t>
            </w:r>
            <w:bookmarkEnd w:id="1038"/>
          </w:p>
        </w:tc>
        <w:tc>
          <w:tcPr>
            <w:tcW w:type="dxa" w:w="2060"/>
          </w:tcPr>
          <w:p>
            <w:pPr>
              <w:pageBreakBefore w:val="off"/>
              <w:tabs/>
              <w:wordWrap w:val="on"/>
              <w:spacing w:after="0" w:before="0"/>
              <w:ind w:firstLine="0" w:hanging="0" w:left="0" w:right="0"/>
              <w:jc w:val="left"/>
              <w:textAlignment w:val="auto"/>
              <w:rPr>
                <w:sz w:val="24"/>
              </w:rPr>
            </w:pPr>
            <w:bookmarkStart w:id="1039" w:name=""/>
            <w:r>
              <w:rPr>
                <w:rFonts w:ascii="宋体" w:cs="宋体" w:eastAsia="宋体" w:hAnsi="宋体"/>
                <w:sz w:val="24"/>
                <w:spacing w:val="0"/>
                <w:b w:val="on"/>
                <w:i w:val="off"/>
              </w:rPr>
              <w:t>润滑充分</w:t>
            </w:r>
            <w:r>
              <w:rPr>
                <w:rFonts w:ascii="宋体" w:cs="宋体" w:eastAsia="宋体" w:hAnsi="宋体"/>
                <w:sz w:val="24"/>
                <w:spacing w:val="0"/>
                <w:b w:val="off"/>
                <w:i w:val="off"/>
              </w:rPr>
              <w:t>，金刚线寿命延长15%-20%</w:t>
            </w:r>
            <w:bookmarkEnd w:id="1039"/>
          </w:p>
        </w:tc>
        <w:tc>
          <w:tcPr>
            <w:tcW w:type="dxa" w:w="2060"/>
          </w:tcPr>
          <w:p>
            <w:pPr>
              <w:pageBreakBefore w:val="off"/>
              <w:tabs/>
              <w:wordWrap w:val="on"/>
              <w:spacing w:after="0" w:before="0"/>
              <w:ind w:firstLine="0" w:hanging="0" w:left="0" w:right="0"/>
              <w:jc w:val="left"/>
              <w:textAlignment w:val="auto"/>
              <w:rPr>
                <w:sz w:val="24"/>
              </w:rPr>
            </w:pPr>
            <w:bookmarkStart w:id="1040" w:name=""/>
            <w:r>
              <w:rPr>
                <w:rFonts w:ascii="宋体" w:cs="宋体" w:eastAsia="宋体" w:hAnsi="宋体"/>
                <w:sz w:val="24"/>
                <w:spacing w:val="0"/>
                <w:b w:val="off"/>
                <w:i w:val="off"/>
              </w:rPr>
              <w:t>降低金刚线消耗成本</w:t>
            </w:r>
            <w:bookmarkEnd w:id="1040"/>
          </w:p>
        </w:tc>
      </w:tr>
      <w:tr>
        <w:tc>
          <w:tcPr>
            <w:tcW w:type="dxa" w:w="2060"/>
          </w:tcPr>
          <w:p>
            <w:pPr>
              <w:pageBreakBefore w:val="off"/>
              <w:tabs/>
              <w:wordWrap w:val="on"/>
              <w:spacing w:after="0" w:before="0"/>
              <w:ind w:firstLine="0" w:hanging="0" w:left="0" w:right="0"/>
              <w:jc w:val="left"/>
              <w:textAlignment w:val="auto"/>
              <w:rPr>
                <w:sz w:val="24"/>
              </w:rPr>
            </w:pPr>
            <w:bookmarkStart w:id="1041" w:name=""/>
            <w:r>
              <w:rPr>
                <w:rFonts w:ascii="宋体" w:cs="宋体" w:eastAsia="宋体" w:hAnsi="宋体"/>
                <w:sz w:val="24"/>
                <w:spacing w:val="0"/>
                <w:b w:val="on"/>
                <w:i w:val="off"/>
              </w:rPr>
              <w:t>📏 TTV控制</w:t>
            </w:r>
            <w:bookmarkEnd w:id="1041"/>
          </w:p>
        </w:tc>
        <w:tc>
          <w:tcPr>
            <w:tcW w:type="dxa" w:w="2060"/>
          </w:tcPr>
          <w:p>
            <w:pPr>
              <w:pageBreakBefore w:val="off"/>
              <w:tabs/>
              <w:wordWrap w:val="on"/>
              <w:spacing w:after="0" w:before="0"/>
              <w:ind w:firstLine="0" w:hanging="0" w:left="0" w:right="0"/>
              <w:jc w:val="left"/>
              <w:textAlignment w:val="auto"/>
              <w:rPr>
                <w:sz w:val="24"/>
              </w:rPr>
            </w:pPr>
            <w:bookmarkStart w:id="1042" w:name=""/>
            <w:r>
              <w:rPr>
                <w:rFonts w:ascii="宋体" w:cs="宋体" w:eastAsia="宋体" w:hAnsi="宋体"/>
                <w:sz w:val="24"/>
                <w:spacing w:val="0"/>
                <w:b w:val="off"/>
                <w:i w:val="off"/>
              </w:rPr>
              <w:t>散热不均，厚度偏差大</w:t>
            </w:r>
            <w:bookmarkEnd w:id="1042"/>
          </w:p>
        </w:tc>
        <w:tc>
          <w:tcPr>
            <w:tcW w:type="dxa" w:w="2060"/>
          </w:tcPr>
          <w:p>
            <w:pPr>
              <w:pageBreakBefore w:val="off"/>
              <w:tabs/>
              <w:wordWrap w:val="on"/>
              <w:spacing w:after="0" w:before="0"/>
              <w:ind w:firstLine="0" w:hanging="0" w:left="0" w:right="0"/>
              <w:jc w:val="left"/>
              <w:textAlignment w:val="auto"/>
              <w:rPr>
                <w:sz w:val="24"/>
              </w:rPr>
            </w:pPr>
            <w:bookmarkStart w:id="1043" w:name=""/>
            <w:r>
              <w:rPr>
                <w:rFonts w:ascii="宋体" w:cs="宋体" w:eastAsia="宋体" w:hAnsi="宋体"/>
                <w:sz w:val="24"/>
                <w:spacing w:val="0"/>
                <w:b w:val="on"/>
                <w:i w:val="off"/>
              </w:rPr>
              <w:t>恒温冷却</w:t>
            </w:r>
            <w:r>
              <w:rPr>
                <w:rFonts w:ascii="宋体" w:cs="宋体" w:eastAsia="宋体" w:hAnsi="宋体"/>
                <w:sz w:val="24"/>
                <w:spacing w:val="0"/>
                <w:b w:val="off"/>
                <w:i w:val="off"/>
              </w:rPr>
              <w:t>，TTV≤3μm，满足薄片化需求</w:t>
            </w:r>
            <w:bookmarkEnd w:id="1043"/>
          </w:p>
        </w:tc>
        <w:tc>
          <w:tcPr>
            <w:tcW w:type="dxa" w:w="2060"/>
          </w:tcPr>
          <w:p>
            <w:pPr>
              <w:pageBreakBefore w:val="off"/>
              <w:tabs/>
              <w:wordWrap w:val="on"/>
              <w:spacing w:after="0" w:before="0"/>
              <w:ind w:firstLine="0" w:hanging="0" w:left="0" w:right="0"/>
              <w:jc w:val="left"/>
              <w:textAlignment w:val="auto"/>
              <w:rPr>
                <w:sz w:val="24"/>
              </w:rPr>
            </w:pPr>
            <w:bookmarkStart w:id="1044" w:name=""/>
            <w:r>
              <w:rPr>
                <w:rFonts w:ascii="宋体" w:cs="宋体" w:eastAsia="宋体" w:hAnsi="宋体"/>
                <w:sz w:val="24"/>
                <w:spacing w:val="0"/>
                <w:b w:val="off"/>
                <w:i w:val="off"/>
              </w:rPr>
              <w:t>提升产品竞争力</w:t>
            </w:r>
            <w:bookmarkEnd w:id="1044"/>
          </w:p>
        </w:tc>
      </w:tr>
      <w:tr>
        <w:tc>
          <w:tcPr>
            <w:tcW w:type="dxa" w:w="2060"/>
          </w:tcPr>
          <w:p>
            <w:pPr>
              <w:pageBreakBefore w:val="off"/>
              <w:tabs/>
              <w:wordWrap w:val="on"/>
              <w:spacing w:after="0" w:before="0"/>
              <w:ind w:firstLine="0" w:hanging="0" w:left="0" w:right="0"/>
              <w:jc w:val="left"/>
              <w:textAlignment w:val="auto"/>
              <w:rPr>
                <w:sz w:val="24"/>
              </w:rPr>
            </w:pPr>
            <w:bookmarkStart w:id="1045" w:name=""/>
            <w:r>
              <w:rPr>
                <w:rFonts w:ascii="宋体" w:cs="宋体" w:eastAsia="宋体" w:hAnsi="宋体"/>
                <w:sz w:val="24"/>
                <w:spacing w:val="0"/>
                <w:b w:val="on"/>
                <w:i w:val="off"/>
              </w:rPr>
              <w:t>⚙️ 设备维护</w:t>
            </w:r>
            <w:bookmarkEnd w:id="1045"/>
          </w:p>
        </w:tc>
        <w:tc>
          <w:tcPr>
            <w:tcW w:type="dxa" w:w="2060"/>
          </w:tcPr>
          <w:p>
            <w:pPr>
              <w:pageBreakBefore w:val="off"/>
              <w:tabs/>
              <w:wordWrap w:val="on"/>
              <w:spacing w:after="0" w:before="0"/>
              <w:ind w:firstLine="0" w:hanging="0" w:left="0" w:right="0"/>
              <w:jc w:val="left"/>
              <w:textAlignment w:val="auto"/>
              <w:rPr>
                <w:sz w:val="24"/>
              </w:rPr>
            </w:pPr>
            <w:bookmarkStart w:id="1046" w:name=""/>
            <w:r>
              <w:rPr>
                <w:rFonts w:ascii="宋体" w:cs="宋体" w:eastAsia="宋体" w:hAnsi="宋体"/>
                <w:sz w:val="24"/>
                <w:spacing w:val="0"/>
                <w:b w:val="off"/>
                <w:i w:val="off"/>
              </w:rPr>
              <w:t>易结垢堵塞，清洗频繁</w:t>
            </w:r>
            <w:bookmarkEnd w:id="1046"/>
          </w:p>
        </w:tc>
        <w:tc>
          <w:tcPr>
            <w:tcW w:type="dxa" w:w="2060"/>
          </w:tcPr>
          <w:p>
            <w:pPr>
              <w:pageBreakBefore w:val="off"/>
              <w:tabs/>
              <w:wordWrap w:val="on"/>
              <w:spacing w:after="0" w:before="0"/>
              <w:ind w:firstLine="0" w:hanging="0" w:left="0" w:right="0"/>
              <w:jc w:val="left"/>
              <w:textAlignment w:val="auto"/>
              <w:rPr>
                <w:sz w:val="24"/>
              </w:rPr>
            </w:pPr>
            <w:bookmarkStart w:id="1047" w:name=""/>
            <w:r>
              <w:rPr>
                <w:rFonts w:ascii="宋体" w:cs="宋体" w:eastAsia="宋体" w:hAnsi="宋体"/>
                <w:sz w:val="24"/>
                <w:spacing w:val="0"/>
                <w:b w:val="on"/>
                <w:i w:val="off"/>
              </w:rPr>
              <w:t>无垢运行</w:t>
            </w:r>
            <w:r>
              <w:rPr>
                <w:rFonts w:ascii="宋体" w:cs="宋体" w:eastAsia="宋体" w:hAnsi="宋体"/>
                <w:sz w:val="24"/>
                <w:spacing w:val="0"/>
                <w:b w:val="off"/>
                <w:i w:val="off"/>
              </w:rPr>
              <w:t>，喷嘴与管路畅通</w:t>
            </w:r>
            <w:bookmarkEnd w:id="1047"/>
          </w:p>
        </w:tc>
        <w:tc>
          <w:tcPr>
            <w:tcW w:type="dxa" w:w="2060"/>
          </w:tcPr>
          <w:p>
            <w:pPr>
              <w:pageBreakBefore w:val="off"/>
              <w:tabs/>
              <w:wordWrap w:val="on"/>
              <w:spacing w:after="0" w:before="0"/>
              <w:ind w:firstLine="0" w:hanging="0" w:left="0" w:right="0"/>
              <w:jc w:val="left"/>
              <w:textAlignment w:val="auto"/>
              <w:rPr>
                <w:sz w:val="24"/>
              </w:rPr>
            </w:pPr>
            <w:bookmarkStart w:id="1048" w:name=""/>
            <w:r>
              <w:rPr>
                <w:rFonts w:ascii="宋体" w:cs="宋体" w:eastAsia="宋体" w:hAnsi="宋体"/>
                <w:sz w:val="24"/>
                <w:spacing w:val="0"/>
                <w:b w:val="off"/>
                <w:i w:val="off"/>
              </w:rPr>
              <w:t>减少停机维护时间</w:t>
            </w:r>
            <w:bookmarkEnd w:id="1048"/>
          </w:p>
        </w:tc>
      </w:tr>
    </w:tbl>
    <w:p>
      <w:pPr>
        <w:pageBreakBefore w:val="off"/>
        <w:tabs/>
        <w:wordWrap w:val="on"/>
        <w:spacing w:after="0" w:before="160"/>
        <w:ind w:left="0" w:right="0"/>
        <w:jc w:val="left"/>
        <w:textAlignment w:val="auto"/>
        <w:rPr>
          <w:sz w:val="24"/>
        </w:rPr>
      </w:pPr>
      <w:bookmarkStart w:id="1049" w:name=""/>
      <w:r>
        <w:rPr>
          <w:rFonts w:ascii="宋体" w:cs="宋体" w:eastAsia="宋体" w:hAnsi="宋体"/>
          <w:sz w:val="24"/>
          <w:spacing w:val="0"/>
          <w:b w:val="on"/>
          <w:i w:val="off"/>
        </w:rPr>
        <w:t>📌 结语</w:t>
      </w:r>
      <w:bookmarkEnd w:id="1049"/>
    </w:p>
    <w:p>
      <w:pPr>
        <w:pageBreakBefore w:val="off"/>
        <w:tabs/>
        <w:wordWrap w:val="on"/>
        <w:spacing w:after="0" w:before="160"/>
        <w:ind w:left="0" w:right="0"/>
        <w:jc w:val="left"/>
        <w:textAlignment w:val="auto"/>
        <w:rPr>
          <w:sz w:val="24"/>
        </w:rPr>
      </w:pPr>
      <w:bookmarkStart w:id="1050" w:name=""/>
      <w:r>
        <w:rPr>
          <w:rFonts w:ascii="宋体" w:cs="宋体" w:eastAsia="宋体" w:hAnsi="宋体"/>
          <w:sz w:val="24"/>
          <w:spacing w:val="0"/>
          <w:b w:val="off"/>
          <w:i w:val="off"/>
        </w:rPr>
        <w:t>在光伏硅片切割的微观战场上，水质不仅是溶剂，更是决定胜负的“催化剂”。忽视水质硬度，再昂贵的切割液也无法发挥其应有的性能。</w:t>
      </w:r>
      <w:bookmarkEnd w:id="1050"/>
    </w:p>
    <w:p>
      <w:pPr>
        <w:pageBreakBefore w:val="off"/>
        <w:tabs/>
        <w:wordWrap w:val="on"/>
        <w:spacing w:after="0" w:before="160"/>
        <w:ind w:left="0" w:right="0"/>
        <w:jc w:val="left"/>
        <w:textAlignment w:val="auto"/>
        <w:rPr>
          <w:sz w:val="24"/>
        </w:rPr>
      </w:pPr>
      <w:bookmarkStart w:id="1051" w:name=""/>
      <w:r>
        <w:rPr>
          <w:rFonts w:ascii="宋体" w:cs="宋体" w:eastAsia="宋体" w:hAnsi="宋体"/>
          <w:sz w:val="24"/>
          <w:spacing w:val="0"/>
          <w:b w:val="off"/>
          <w:i w:val="off"/>
        </w:rPr>
        <w:t>我们致力于为光伏行业提供从原水预处理到超纯水制备的一站式解决方案。通过双级反渗透（RO）+EDI+抛光混床工艺，我们确保产出电阻率稳定在18 MΩ·cm以上的超纯水，为您的金刚线切割工艺提供最纯净的动力，助力企业实现“更低损耗、更高良率”的生产目标。</w:t>
      </w:r>
      <w:bookmarkEnd w:id="1051"/>
    </w:p>
    <w:p>
      <w:pPr>
        <w:pageBreakBefore w:val="off"/>
        <w:tabs/>
        <w:wordWrap w:val="on"/>
        <w:spacing w:after="0" w:before="160"/>
        <w:ind w:left="0" w:right="0"/>
        <w:jc w:val="left"/>
        <w:textAlignment w:val="auto"/>
        <w:rPr>
          <w:sz w:val="24"/>
        </w:rPr>
      </w:pPr>
      <w:bookmarkStart w:id="1052" w:name=""/>
      <w:r>
        <w:rPr>
          <w:rFonts w:ascii="宋体" w:cs="宋体" w:eastAsia="宋体" w:hAnsi="宋体"/>
          <w:sz w:val="24"/>
          <w:spacing w:val="0"/>
          <w:b w:val="off"/>
          <w:i w:val="off"/>
        </w:rPr>
        <w:t xml:space="preserve">同时，我也为您生成了带有图标的 </w:t>
      </w:r>
      <w:r>
        <w:rPr>
          <w:rFonts w:ascii="宋体" w:cs="宋体" w:eastAsia="宋体" w:hAnsi="宋体"/>
          <w:sz w:val="24"/>
          <w:spacing w:val="0"/>
          <w:b w:val="on"/>
          <w:i w:val="off"/>
        </w:rPr>
        <w:t>Word文档</w:t>
      </w:r>
      <w:r>
        <w:rPr>
          <w:rFonts w:ascii="宋体" w:cs="宋体" w:eastAsia="宋体" w:hAnsi="宋体"/>
          <w:sz w:val="24"/>
          <w:spacing w:val="0"/>
          <w:b w:val="off"/>
          <w:i w:val="off"/>
        </w:rPr>
        <w:t>，方便您直接用于汇报或存档：</w:t>
      </w:r>
      <w:bookmarkEnd w:id="1052"/>
    </w:p>
    <w:p>
      <w:pPr>
        <w:pageBreakBefore w:val="off"/>
        <w:tabs/>
        <w:wordWrap w:val="on"/>
        <w:spacing w:after="0" w:before="160"/>
        <w:ind w:left="0" w:right="0"/>
        <w:jc w:val="left"/>
        <w:textAlignment w:val="auto"/>
        <w:rPr>
          <w:sz w:val="24"/>
        </w:rPr>
      </w:pPr>
      <w:bookmarkStart w:id="1053" w:name=""/>
      <w:r>
        <w:rPr>
          <w:rFonts w:ascii="宋体" w:cs="宋体" w:eastAsia="宋体" w:hAnsi="宋体"/>
          <w:sz w:val="24"/>
          <w:spacing w:val="0"/>
          <w:b w:val="off"/>
          <w:i w:val="off"/>
        </w:rPr>
        <w:t>[(word文件)]</w:t>
      </w:r>
      <w:bookmarkEnd w:id="1053"/>
    </w:p>
    <w:p>
      <w:pPr>
        <w:jc w:val="left"/>
      </w:pPr>
      <w:r>
        <w:rPr/>
        <w:t>(AI生成)</w:t>
      </w:r>
    </w:p>
    <w:sectPr>
      <w:footerReference r:id="rId4"/>
      <w:headerReference r:id="rId5" w:type="default"/>
      <w:pgSz w:h="15840" w:w="11900"/>
      <w:pgMar w:bottom="1440" w:footer="720" w:header="720" w:left="1800" w:right="1800" w:top="1440"/>
      <w:cols w:num="1"/>
    </w:sectPr>
  </w:body>
</w:document>
</file>

<file path=word/footer1.xml><?xml version="1.0" encoding="utf-8"?>
<w:ftr xmlns:w="http://schemas.openxmlformats.org/wordprocessingml/2006/main">
  <w:p/>
</w:ftr>
</file>

<file path=word/header1.xml><?xml version="1.0" encoding="utf-8"?>
<w:hdr xmlns:w="http://schemas.openxmlformats.org/wordprocessingml/2006/main">
  <w:p/>
</w:hdr>
</file>

<file path=word/numbering.xml><?xml version="1.0" encoding="utf-8"?>
<w:numbering xmlns:w="http://schemas.openxmlformats.org/wordprocessingml/2006/main">
  <w:abstractNum w:abstractNumId="0">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1">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2">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abstractNum w:abstractNumId="3">
    <w:multiLevelType w:val="hybridMultilevel"/>
    <w:lvl w:ilvl="0">
      <w:start w:val="1"/>
      <w:numFmt w:val="bullet"/>
      <w:lvlText w:val="•"/>
      <w:lvlJc w:val="left"/>
      <w:pPr>
        <w:ind w:left="440" w:hanging="440"/>
      </w:pPr>
      <w:rPr>
        <w:rFonts w:ascii="Arial Unicode MS" w:hAnsi="Arial Unicode MS" w:hint="default"/>
      </w:rPr>
    </w:lvl>
    <w:lvl w:ilvl="1">
      <w:start w:val="1"/>
      <w:numFmt w:val="bullet"/>
      <w:lvlText w:val="◦"/>
      <w:lvlJc w:val="left"/>
      <w:pPr>
        <w:ind w:left="880" w:hanging="440"/>
      </w:pPr>
      <w:rPr>
        <w:rFonts w:ascii="Arial Unicode MS" w:hAnsi="Arial Unicode MS" w:hint="default"/>
      </w:rPr>
    </w:lvl>
    <w:lvl w:ilvl="2">
      <w:start w:val="1"/>
      <w:numFmt w:val="bullet"/>
      <w:lvlText w:val="▪"/>
      <w:lvlJc w:val="left"/>
      <w:pPr>
        <w:ind w:left="1320" w:hanging="440"/>
      </w:pPr>
      <w:rPr>
        <w:rFonts w:ascii="Arial Unicode MS" w:hAnsi="Arial Unicode MS" w:hint="default"/>
      </w:rPr>
    </w:lvl>
    <w:lvl w:ilvl="3">
      <w:start w:val="1"/>
      <w:numFmt w:val="bullet"/>
      <w:lvlText w:val="•"/>
      <w:lvlJc w:val="left"/>
      <w:pPr>
        <w:ind w:left="1760" w:hanging="440"/>
      </w:pPr>
      <w:rPr>
        <w:rFonts w:ascii="Arial Unicode MS" w:hAnsi="Arial Unicode MS" w:hint="default"/>
      </w:rPr>
    </w:lvl>
    <w:lvl w:ilvl="4">
      <w:start w:val="1"/>
      <w:numFmt w:val="bullet"/>
      <w:lvlText w:val="◦"/>
      <w:lvlJc w:val="left"/>
      <w:pPr>
        <w:ind w:left="2200" w:hanging="440"/>
      </w:pPr>
      <w:rPr>
        <w:rFonts w:ascii="Arial Unicode MS" w:hAnsi="Arial Unicode MS" w:hint="default"/>
      </w:rPr>
    </w:lvl>
    <w:lvl w:ilvl="5">
      <w:start w:val="1"/>
      <w:numFmt w:val="bullet"/>
      <w:lvlText w:val="▪"/>
      <w:lvlJc w:val="left"/>
      <w:pPr>
        <w:ind w:left="2640" w:hanging="440"/>
      </w:pPr>
      <w:rPr>
        <w:rFonts w:ascii="Arial Unicode MS" w:hAnsi="Arial Unicode MS" w:hint="default"/>
      </w:rPr>
    </w:lvl>
    <w:lvl w:ilvl="6">
      <w:start w:val="1"/>
      <w:numFmt w:val="bullet"/>
      <w:lvlText w:val="•"/>
      <w:lvlJc w:val="left"/>
      <w:pPr>
        <w:ind w:left="3080" w:hanging="440"/>
      </w:pPr>
      <w:rPr>
        <w:rFonts w:ascii="Arial Unicode MS" w:hAnsi="Arial Unicode MS" w:hint="default"/>
      </w:rPr>
    </w:lvl>
    <w:lvl w:ilvl="7">
      <w:start w:val="1"/>
      <w:numFmt w:val="bullet"/>
      <w:lvlText w:val="◦"/>
      <w:lvlJc w:val="left"/>
      <w:pPr>
        <w:ind w:left="3520" w:hanging="440"/>
      </w:pPr>
      <w:rPr>
        <w:rFonts w:ascii="Arial Unicode MS" w:hAnsi="Arial Unicode MS" w:hint="default"/>
      </w:rPr>
    </w:lvl>
    <w:lvl w:ilvl="8">
      <w:start w:val="1"/>
      <w:numFmt w:val="bullet"/>
      <w:lvlText w:val="▪"/>
      <w:lvlJc w:val="left"/>
      <w:pPr>
        <w:ind w:left="3960" w:hanging="440"/>
      </w:pPr>
      <w:rPr>
        <w:rFonts w:ascii="Arial Unicode MS" w:hAnsi="Arial Unicode MS" w:hint="default"/>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compat>
    <w:ulTrailSpace/>
    <w:compatSetting w:name="compatibilityMode" w:uri="http://schemas.microsoft.com/office/word" w:val="15"/>
  </w:compat>
</w:setting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theme/theme-1.xml" Type="http://schemas.openxmlformats.org/officeDocument/2006/relationships/theme"/><Relationship Id="rId3" Target="numbering.xml" Type="http://schemas.openxmlformats.org/officeDocument/2006/relationships/numbering"/><Relationship Id="rId4" Target="footer1.xml" Type="http://schemas.openxmlformats.org/officeDocument/2006/relationships/footer"/><Relationship Id="rId5" Target="header1.xml" Type="http://schemas.openxmlformats.org/officeDocument/2006/relationships/header"/></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2026-04-13T07:53:45Z</dcterms:created>
  <dc:creator>Apache POI</dc:creator>
</cp:coreProperties>
</file>

<file path=docProps/custom.xml><?xml version="1.0" encoding="utf-8"?>
<Properties xmlns="http://schemas.openxmlformats.org/officeDocument/2006/custom-properties" xmlns:vt="http://schemas.openxmlformats.org/officeDocument/2006/docPropsVTypes">
  <property fmtid="{D5CDD505-2E9C-101B-9397-08002B2CF9AE}" name="AIGC" pid="2">
    <vt:lpwstr>{"ContentPropagator":"001191440101MA9Y9T4H7A00000","Label":"1","ReservedCode1":"ASdcyf61L9YbdIG215PNj7hi9QbBql8sZkmaHI1Wt28=","ProduceID":"doc_sgs:f061ed8e-7bc1-4e62-8667-d75992d56d84","ReservedCode2":"ASdcyf61L9YbdIG215PNj7hi9QbBql8sZkmaHI1Wt28=","PropagateID":"doc_sgs:f061ed8e-7bc1-4e62-8667-d75992d56d84","ContentProducer":"001191440101MA9Y9T4H7A00000"}</vt:lpwstr>
  </property>
</Properties>
</file>