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Style w:val="全文一级大标题"/>
        <w:pageBreakBefore w:val="off"/>
        <w:tabs/>
        <w:wordWrap w:val="on"/>
        <w:spacing w:before="0" w:after="0" w:line="640" w:lineRule="exact"/>
        <w:ind w:left="0" w:right="0"/>
        <w:jc w:val="center"/>
        <w:textAlignment w:val="auto"/>
        <w:rPr>
          <w:sz w:val="44"/>
        </w:rPr>
      </w:pPr>
      <w:bookmarkStart w:name="06125dce5c534828a411c4487f1d5c88" w:id="1001"/>
      <w:r>
        <w:rPr>
          <w:rFonts w:ascii="黑体" w:hAnsi="黑体" w:cs="黑体" w:eastAsia="黑体"/>
          <w:sz w:val="44"/>
          <w:spacing w:val="0"/>
          <w:b w:val="on"/>
          <w:i w:val="off"/>
        </w:rPr>
        <w:t>超纯水系统TOC波动大？抛光混床维护方案</w:t>
      </w:r>
      <w:bookmarkEnd w:id="100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9ca87ee3c609491aab91b9209d615231" w:id="1002"/>
      <w:r>
        <w:rPr>
          <w:rFonts w:ascii="宋体" w:hAnsi="宋体" w:cs="宋体" w:eastAsia="宋体"/>
          <w:sz w:val="32"/>
          <w:spacing w:val="0"/>
          <w:b w:val="off"/>
          <w:i w:val="off"/>
        </w:rPr>
        <w:t>场景设定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：某新能源电池/光伏企业超纯水站，近期终端用水点TOC数据出现异常波动，甚至偶发超标报警。运维团队正在紧急排查。</w:t>
      </w:r>
      <w:bookmarkEnd w:id="100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  <w:szCs w:val="32"/>
        </w:rPr>
      </w:pPr>
      <w:bookmarkStart w:name="f68c9c142fad4252a8a908acc0dc3a91" w:id="1003"/>
      <w:bookmarkEnd w:id="1003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2f9aad33781d40049b886fe160d9d483" w:id="1004"/>
      <w:r>
        <w:rPr>
          <w:rFonts w:ascii="黑体" w:hAnsi="黑体" w:cs="黑体" w:eastAsia="黑体"/>
          <w:sz w:val="36"/>
          <w:spacing w:val="0"/>
          <w:b w:val="on"/>
          <w:i w:val="off"/>
        </w:rPr>
        <w:t>一、 深度诊断：为什么TOC会“过山车”式波动？</w:t>
      </w:r>
      <w:bookmarkEnd w:id="100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78f21d365e3a416b84c9edd2af0a960d" w:id="1005"/>
      <w:r>
        <w:rPr>
          <w:rFonts w:ascii="宋体" w:hAnsi="宋体" w:cs="宋体" w:eastAsia="宋体"/>
          <w:sz w:val="32"/>
          <w:spacing w:val="0"/>
          <w:b w:val="off"/>
          <w:i w:val="off"/>
        </w:rPr>
        <w:t>运维工程师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：“老板，最近抛光混床出水的TOC（总有机碳）数值很不稳定，一会儿是1ppb，一会儿跳到5ppb，这到底是哪里出了问题？”</w:t>
      </w:r>
      <w:bookmarkEnd w:id="100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4b560b651bf4325b7340b6d60d78c00" w:id="1006"/>
      <w:r>
        <w:rPr>
          <w:rFonts w:ascii="宋体" w:hAnsi="宋体" w:cs="宋体" w:eastAsia="宋体"/>
          <w:sz w:val="32"/>
          <w:spacing w:val="0"/>
          <w:b w:val="off"/>
          <w:i w:val="off"/>
        </w:rPr>
        <w:t>技术专家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：“别急，TOC波动通常不是单一原因，而是‘前段累积’与‘终端失效’的综合反应。针对咱们这种高精尖行业，主要有以下三大‘元凶’：”</w:t>
      </w:r>
      <w:bookmarkEnd w:id="1006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c13ad811aa6d42ef954a44cde73cf931" w:id="1007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1.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进水负荷冲击（源头问题）</w:t>
      </w:r>
      <w:bookmarkEnd w:id="1007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0422cabdf11c410b80f2b86529c2e377" w:id="1008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现象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：前端反渗透（RO）或EDI系统的产水TOC本身就在波动。</w:t>
      </w:r>
      <w:bookmarkEnd w:id="1008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059ac5831ef54c73aca9741ea6a143ad" w:id="1009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原因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：原水中的有机物（如地表水中的腐殖酸、工业废水中的溶剂）未被预处理（如活性炭过滤器、超滤）彻底去除。当进水TOC瞬间升高，超过了抛光树脂的吸附容量，出水自然就会波动。</w:t>
      </w:r>
      <w:bookmarkEnd w:id="100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5550aaa3d67c43649be6e891cbb99a79" w:id="1010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数据支撑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：一般要求进入抛光混床的水，TOC应稳定在较低水平（如&lt;10-20ppb），否则树脂会迅速饱和。</w:t>
      </w:r>
      <w:bookmarkEnd w:id="101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ede0232e4d624d569a36034c549e5003" w:id="1011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2.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树脂性能衰减与污染（核心问题）</w:t>
      </w:r>
      <w:bookmarkEnd w:id="101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91781a096c4d47d8be361041cc71acac" w:id="1012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有机物污染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：树脂不仅交换离子，也会吸附有机物。长期运行后，大分子有机物堵塞树脂微孔，不仅占据交换位点，还会成为细菌滋生的温床，导致TOC释放。</w:t>
      </w:r>
      <w:bookmarkEnd w:id="101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25d2e256d39c4c2ab44bf0ecac8b21cb" w:id="1013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氧化降解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：如果前段有氧化剂（如余氯、臭氧）泄漏，会破坏树脂的交联结构，导致树脂骨架断裂，释放出有机碎片，直接导致出水TOC飙升。</w:t>
      </w:r>
      <w:bookmarkEnd w:id="101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057449a595c47fe90733dd7b737de0c" w:id="1014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物理失效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：树脂颗粒破碎或运行流速过快，导致水流在床层内产生“沟流”或短路，水没有充分接触树脂就流走了。</w:t>
      </w:r>
      <w:bookmarkEnd w:id="101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bed1433a0f5f4155935be8beb5ddcd16" w:id="1015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3.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运行环境不当（操作问题）</w:t>
      </w:r>
      <w:bookmarkEnd w:id="101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539d0c8d16ec47b48de73be13b6c46a1" w:id="1016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温度失控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：水温过高（超过25-30°C）会加速树脂中有机物的溶出，同时降低树脂对离子的亲和力。</w:t>
      </w:r>
      <w:bookmarkEnd w:id="1016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692d6bd97c2a45ff954089e13c213854" w:id="1017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流速过快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：为了追求产量，提高了运行流速。对于不可再生的抛光树脂，流速过快会大幅减少接触时间，导致处理效果断崖式下跌。</w:t>
      </w:r>
      <w:bookmarkEnd w:id="1017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  <w:szCs w:val="32"/>
        </w:rPr>
      </w:pPr>
      <w:bookmarkStart w:name="800276e544a64d9cb568405d63056344" w:id="1018"/>
      <w:bookmarkEnd w:id="1018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dde651d36b10426685994c29b5ce112d" w:id="1019"/>
      <w:r>
        <w:rPr>
          <w:rFonts w:ascii="黑体" w:hAnsi="黑体" w:cs="黑体" w:eastAsia="黑体"/>
          <w:sz w:val="36"/>
          <w:spacing w:val="0"/>
          <w:b w:val="on"/>
          <w:i w:val="off"/>
        </w:rPr>
        <w:t>二、 策略分析：现有维护方法的优劣势对比</w:t>
      </w:r>
      <w:bookmarkEnd w:id="101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73ce55da85fa4502b6cda648879d1a1d" w:id="1020"/>
      <w:r>
        <w:rPr>
          <w:rFonts w:ascii="宋体" w:hAnsi="宋体" w:cs="宋体" w:eastAsia="宋体"/>
          <w:sz w:val="32"/>
          <w:spacing w:val="0"/>
          <w:b w:val="off"/>
          <w:i w:val="off"/>
        </w:rPr>
        <w:t>运维工程师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：“那我们目前采用的‘定期更换树脂’和偶尔的‘在线清洗’，哪种更靠谱？”</w:t>
      </w:r>
      <w:bookmarkEnd w:id="102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1703181140ac40a4ba1936c0932f4470" w:id="1021"/>
      <w:r>
        <w:rPr>
          <w:rFonts w:ascii="宋体" w:hAnsi="宋体" w:cs="宋体" w:eastAsia="宋体"/>
          <w:sz w:val="32"/>
          <w:spacing w:val="0"/>
          <w:b w:val="off"/>
          <w:i w:val="off"/>
        </w:rPr>
        <w:t>技术专家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：“我们来对比一下几种常见方案的优劣势，帮你做决策。”</w:t>
      </w:r>
      <w:bookmarkEnd w:id="1021"/>
    </w:p>
    <w:tbl>
      <w:tblPr>
        <w:tblW w:w="0" w:type="auto"/>
        <w:jc w:val="start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80"/>
        <w:gridCol w:w="2080"/>
        <w:gridCol w:w="2080"/>
        <w:gridCol w:w="2080"/>
      </w:tblGrid>
      <w:tr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9c9eb437ff4945a3bdc566e42e933823" w:id="1022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维护方案</w:t>
            </w:r>
            <w:bookmarkEnd w:id="1022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173ab0fd5ff94a198aa1766e464c3684" w:id="1023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优势</w:t>
            </w:r>
            <w:bookmarkEnd w:id="1023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94c3d3ce21ec4a5984ae24a79fe62028" w:id="1024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劣势</w:t>
            </w:r>
            <w:bookmarkEnd w:id="1024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df913feff3944cdaa4fb6835f09c079c" w:id="1025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适用场景</w:t>
            </w:r>
            <w:bookmarkEnd w:id="1025"/>
          </w:p>
        </w:tc>
      </w:tr>
      <w:tr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fefc7c1c295e419e8bff1700685ca6a9" w:id="1026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定期整体更换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(最常用)</w:t>
            </w:r>
            <w:bookmarkEnd w:id="1026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293f29b60ab543afbc48d89650746b6a" w:id="1027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效果最彻底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：直接恢复系统性能，无残留风险。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操作简单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：无需复杂的再生设备。</w:t>
            </w:r>
            <w:bookmarkEnd w:id="1027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1eb811a3556e4bb3ad81625db8afb17d" w:id="1028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成本高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：抛光树脂（如UP6040）价格昂贵。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停机时间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：更换过程需要停机排空、清洗罐体。</w:t>
            </w:r>
            <w:bookmarkEnd w:id="1028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7f6df48246eb4ec98ce5a895c98bdc07" w:id="1029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树脂达到使用寿命（通常1-2年）或严重污染时。</w:t>
            </w:r>
            <w:bookmarkEnd w:id="1029"/>
          </w:p>
        </w:tc>
      </w:tr>
      <w:tr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6400b24d9f3043fb8a76b40499418c1c" w:id="1030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在线清洗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(酸碱/盐碱)</w:t>
            </w:r>
            <w:bookmarkEnd w:id="1030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3ad8db21cce64ecc8285432c24493735" w:id="1031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成本较低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：延长树脂使用寿命。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操作相对便捷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：可在罐体内进行。</w:t>
            </w:r>
            <w:bookmarkEnd w:id="1031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8a2a5ca1084949a18f7080d4496f12fe" w:id="1032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效果有限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：只能去除表面污染物，无法恢复内部微孔。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风险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：清洗不彻底可能导致二次污染。</w:t>
            </w:r>
            <w:bookmarkEnd w:id="1032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69e5f50989ba457eb3c53b55c528bdec" w:id="1033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针对轻微的有机物污染或金属离子污染，作为临时补救。</w:t>
            </w:r>
            <w:bookmarkEnd w:id="1033"/>
          </w:p>
        </w:tc>
      </w:tr>
      <w:tr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0f240779d1614c0cb93c8e043be4ba5a" w:id="1034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强化预处理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(前端改造)</w:t>
            </w:r>
            <w:bookmarkEnd w:id="1034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b17c2d8c1d454c5d8d563ffc1bd43309" w:id="1035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治本之策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：保护后端昂贵的抛光树脂。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长期效益好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：降低耗材更换频率。</w:t>
            </w:r>
            <w:bookmarkEnd w:id="1035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377e2b0bd9164488978a5b4883e628da" w:id="1036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初期投入大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：需要增加设备（如超滤、高级氧化）。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&lt;br&gt;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占地</w:t>
            </w:r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：需要额外的安装空间。</w:t>
            </w:r>
            <w:bookmarkEnd w:id="1036"/>
          </w:p>
        </w:tc>
        <w:tc>
          <w:tcPr>
            <w:tcW w:w="2080" w:type="dxa"/>
          </w:tcPr>
          <w:p>
            <w:pPr>
              <w:pStyle w:val="正文 文本"/>
              <w:pageBreakBefore w:val="off"/>
              <w:tabs/>
              <w:wordWrap w:val="on"/>
              <w:spacing w:before="0" w:after="0" w:line="560" w:lineRule="exact"/>
              <w:ind w:left="160" w:right="0" w:firstLine="0" w:hanging="0"/>
              <w:jc w:val="both"/>
              <w:textAlignment w:val="auto"/>
              <w:rPr>
                <w:sz w:val="32"/>
              </w:rPr>
            </w:pPr>
            <w:bookmarkStart w:name="556cb9f351174ddd83e8e37df60ac103" w:id="1037"/>
            <w:r>
              <w:rPr>
                <w:rFonts w:ascii="宋体" w:hAnsi="宋体" w:cs="宋体" w:eastAsia="宋体"/>
                <w:sz w:val="32"/>
                <w:spacing w:val="0"/>
                <w:b w:val="off"/>
                <w:i w:val="off"/>
              </w:rPr>
              <w:t>进水水质波动大，原水有机物含量高的工厂。</w:t>
            </w:r>
            <w:bookmarkEnd w:id="1037"/>
          </w:p>
        </w:tc>
      </w:tr>
    </w:tbl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  <w:szCs w:val="32"/>
        </w:rPr>
      </w:pPr>
      <w:bookmarkStart w:name="bf4c4ce7546a4d7c82a30f322ba99964" w:id="1038"/>
      <w:bookmarkEnd w:id="1038"/>
    </w:p>
    <w:p>
      <w:pPr>
        <w:pStyle w:val="正文一级标题"/>
        <w:pageBreakBefore w:val="off"/>
        <w:tabs/>
        <w:wordWrap w:val="on"/>
        <w:spacing w:before="0" w:after="0" w:line="560" w:lineRule="exact"/>
        <w:ind w:left="0" w:right="0" w:firstLine="720"/>
        <w:jc w:val="both"/>
        <w:textAlignment w:val="auto"/>
        <w:rPr>
          <w:sz w:val="36"/>
        </w:rPr>
      </w:pPr>
      <w:bookmarkStart w:name="2e52a7b841bd4e9192ad5ebada497d70" w:id="1039"/>
      <w:r>
        <w:rPr>
          <w:rFonts w:ascii="黑体" w:hAnsi="黑体" w:cs="黑体" w:eastAsia="黑体"/>
          <w:sz w:val="36"/>
          <w:spacing w:val="0"/>
          <w:b w:val="on"/>
          <w:i w:val="off"/>
        </w:rPr>
        <w:t>三、 解决方案：如何构建“零波动”的用水安全防线？</w:t>
      </w:r>
      <w:bookmarkEnd w:id="103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8ee9269c88448039e214e0eabef038f" w:id="1040"/>
      <w:r>
        <w:rPr>
          <w:rFonts w:ascii="宋体" w:hAnsi="宋体" w:cs="宋体" w:eastAsia="宋体"/>
          <w:sz w:val="32"/>
          <w:spacing w:val="0"/>
          <w:b w:val="off"/>
          <w:i w:val="off"/>
        </w:rPr>
        <w:t>运维工程师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：“明白了。为了保证后续生产绝对安全，我们现在应该采取哪些具体措施？”</w:t>
      </w:r>
      <w:bookmarkEnd w:id="104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3fbd36af5a594115bcebcb2884308cc2" w:id="1041"/>
      <w:r>
        <w:rPr>
          <w:rFonts w:ascii="宋体" w:hAnsi="宋体" w:cs="宋体" w:eastAsia="宋体"/>
          <w:sz w:val="32"/>
          <w:spacing w:val="0"/>
          <w:b w:val="off"/>
          <w:i w:val="off"/>
        </w:rPr>
        <w:t>技术专家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：“要保证用水安全，必须打一套‘组合拳’，从源头到终端全方位控制。”</w:t>
      </w:r>
      <w:bookmarkEnd w:id="104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58a6a404caee42d2986ffc5b24ecccc3" w:id="1042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1.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源头截断：强化预处理</w:t>
      </w:r>
      <w:bookmarkEnd w:id="104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c16e09f81c59468e9a5244157dcb72fc" w:id="1043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活性炭过滤器维护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：这是去除TOC的第一道防线。务必定期检测活性炭的碘值和出水余氯，防止微生物穿透和余氯氧化树脂。</w:t>
      </w:r>
      <w:bookmarkEnd w:id="104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6ed39e9c97084048a68d1663023d1c15" w:id="1044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增设超滤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：如果原水波动大，建议在RO前增加超滤装置，拦截大分子有机物和胶体。</w:t>
      </w:r>
      <w:bookmarkEnd w:id="1044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8b79d44e8da44943bccf46f416241868" w:id="1045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2.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过程控制：精细化运行</w:t>
      </w:r>
      <w:bookmarkEnd w:id="1045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5c744b6a52df4061b78aa5914add2387" w:id="1046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严格控制流速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：将抛光混床的运行流速控制在设计范围内（通常建议10-20m/h），避免“沟流”现象。</w:t>
      </w:r>
      <w:bookmarkEnd w:id="1046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0f3774bba38944c99a1ba2f4635e8ff6" w:id="1047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温度管理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：确保进水温度在15-25°C之间。夏季水温高时，需开启换热器降温，防止树脂溶出有机物。</w:t>
      </w:r>
      <w:bookmarkEnd w:id="1047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b764ba85f0a34f819aaf6e7e341856d3" w:id="1048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氮封保护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：超纯水箱必须采用氮气密封，防止空气中的CO₂和灰尘进入，避免水质二次污染。</w:t>
      </w:r>
      <w:bookmarkEnd w:id="1048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dc92dd9268de46debb3360fdf7253e15" w:id="1049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3.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终端把关：科学更换与监测</w:t>
      </w:r>
      <w:bookmarkEnd w:id="1049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62a76d8c051a4643a2626f7bb8804754" w:id="1050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在线监测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：安装高精度的在线TOC分析仪（检测限需达到ppb级）和电阻率仪。设定报警阈值（如TOC &gt; 3ppb），一旦超标立即自动切换备用回路。</w:t>
      </w:r>
      <w:bookmarkEnd w:id="1050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adc40350297643a999b49c5be1248f00" w:id="1051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及时更换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：不要等到水质完全恶化才换树脂。当出水电阻率降至17MΩ·cm或TOC持续无法达标时，即使未到预定周期，也应果断更换。</w:t>
      </w:r>
      <w:bookmarkEnd w:id="1051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f28d69ca84384214a4d2da2bafd23ba1" w:id="1052"/>
      <w:r>
        <w:rPr>
          <w:rFonts w:ascii="宋体" w:hAnsi="宋体" w:cs="宋体" w:eastAsia="宋体"/>
          <w:sz w:val="32"/>
          <w:spacing w:val="0"/>
          <w:b w:val="off"/>
          <w:i w:val="off"/>
        </w:rPr>
        <w:t xml:space="preserve">    *   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选用高品质树脂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：选择转型率高（H+/OH-型）、出厂清洗彻底的核级抛光树脂（如杜邦UP6040等同类产品），确保初始ΔTOC极低。</w:t>
      </w:r>
      <w:bookmarkEnd w:id="1052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bb3a30885f3d494ea52c6590c32839f0" w:id="1053"/>
      <w:r>
        <w:rPr>
          <w:rFonts w:ascii="宋体" w:hAnsi="宋体" w:cs="宋体" w:eastAsia="宋体"/>
          <w:sz w:val="32"/>
          <w:spacing w:val="0"/>
          <w:b w:val="off"/>
          <w:i w:val="off"/>
        </w:rPr>
        <w:t>运维工程师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：“收到！我会立刻检查前端活性炭过滤器，并重新校准流速和温度参数。”</w:t>
      </w:r>
      <w:bookmarkEnd w:id="1053"/>
    </w:p>
    <w:p>
      <w:pPr>
        <w:pStyle w:val="正文 文本"/>
        <w:pageBreakBefore w:val="off"/>
        <w:tabs/>
        <w:wordWrap w:val="on"/>
        <w:spacing w:before="0" w:after="0" w:line="560" w:lineRule="exact"/>
        <w:ind w:left="0" w:right="0" w:firstLine="640"/>
        <w:jc w:val="both"/>
        <w:textAlignment w:val="auto"/>
        <w:rPr>
          <w:sz w:val="32"/>
        </w:rPr>
      </w:pPr>
      <w:bookmarkStart w:name="dac3f32f025e44239adcffa051bc5b33" w:id="1054"/>
      <w:r>
        <w:rPr>
          <w:rFonts w:ascii="宋体" w:hAnsi="宋体" w:cs="宋体" w:eastAsia="宋体"/>
          <w:sz w:val="32"/>
          <w:spacing w:val="0"/>
          <w:b w:val="off"/>
          <w:i w:val="off"/>
        </w:rPr>
        <w:t>技术专家</w:t>
      </w:r>
      <w:r>
        <w:rPr>
          <w:rFonts w:ascii="宋体" w:hAnsi="宋体" w:cs="宋体" w:eastAsia="宋体"/>
          <w:sz w:val="32"/>
          <w:spacing w:val="0"/>
          <w:b w:val="off"/>
          <w:i w:val="off"/>
        </w:rPr>
        <w:t>：“记住，超纯水系统是一个整体，只有前端稳了，抛光混床才能发挥最后的‘守门员’作用。”</w:t>
      </w:r>
      <w:bookmarkEnd w:id="1054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w="11900" w:h="16820"/>
      <w:pgMar w:left="1780" w:top="1440" w:right="1780" w:bottom="1440" w:header="840" w:footer="8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全文一级大标题">
    <w:name w:val="全文一级大标题"/>
    <w:aliases w:val="全文一级大标题"/>
    <w:uiPriority w:val="1"/>
    <w:qFormat/>
    <w:pPr>
      <w:spacing w:lineRule="exact" w:line="640"/>
      <w:ind w:left="0" w:right="0"/>
      <w:jc w:val="center"/>
    </w:pPr>
    <w:rPr>
      <w:rFonts w:eastAsia="黑体" w:ascii="黑体"/>
      <w:sz w:val="44"/>
      <w:b w:val="1"/>
    </w:rPr>
  </w:style>
  <w:style w:type="paragraph" w:styleId="正文 文本">
    <w:name w:val="正文 文本"/>
    <w:aliases w:val="正文 文本"/>
    <w:uiPriority w:val="1"/>
    <w:qFormat/>
    <w:pPr>
      <w:spacing w:lineRule="exact" w:line="560"/>
      <w:ind w:left="0" w:right="0" w:firstLine="640"/>
      <w:jc w:val="both"/>
    </w:pPr>
    <w:rPr>
      <w:rFonts w:eastAsia="宋体" w:ascii="宋体"/>
      <w:sz w:val="32"/>
    </w:rPr>
  </w:style>
  <w:style w:type="paragraph" w:styleId="正文一级标题">
    <w:name w:val="正文一级标题"/>
    <w:aliases w:val="正文一级标题"/>
    <w:uiPriority w:val="1"/>
    <w:qFormat/>
    <w:pPr>
      <w:spacing w:lineRule="exact" w:line="560"/>
      <w:ind w:left="0" w:right="0" w:firstLine="720"/>
      <w:jc w:val="both"/>
    </w:pPr>
    <w:rPr>
      <w:rFonts w:eastAsia="黑体" w:ascii="黑体"/>
      <w:sz w:val="36"/>
      <w:b w:val="1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styles.xml" Type="http://schemas.openxmlformats.org/officeDocument/2006/relationships/styles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2026-04-16T02:07:49Z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O9sZ+dhqgdreEBeSObcsagoRJRHP15OId2ByPmtohsM=","ProduceID":"doc_sgs:c2caa667721140959c328da92fcaf2fd","ReservedCode2":"O9sZ+dhqgdreEBeSObcsagoRJRHP15OId2ByPmtohsM=","PropagateID":"doc_sgs:c2caa667721140959c328da92fcaf2fd","ContentProducer":"001191440101MA9Y9T4H7A00000"}</vt:lpwstr>
  </property>
</Properties>
</file>