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arget="docProps/custom.xml" Type="http://schemas.openxmlformats.org/officeDocument/2006/relationships/custom-properties"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>
  <w:body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48"/>
        </w:rPr>
      </w:pPr>
      <w:bookmarkStart w:id="1001" w:name=""/>
      <w:r>
        <w:rPr>
          <w:rFonts w:ascii="宋体" w:cs="宋体" w:eastAsia="宋体" w:hAnsi="宋体"/>
          <w:sz w:val="48"/>
          <w:spacing w:val="0"/>
          <w:b w:val="on"/>
          <w:i w:val="off"/>
        </w:rPr>
        <w:t>半导体行业痛点：超纯水TOC居高不下？这套管路钝化方案让水质提升</w:t>
      </w:r>
      <w:bookmarkEnd w:id="100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场景设定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：某12英寸晶圆制造厂，近期在7nm工艺段发现晶圆表面出现不明有机残留，导致良率波动。厂务部与水处理专家针对超纯水（UPW）系统TOC（总有机碳）持续偏高（&gt;1ppb）的问题进行紧急会诊。</w:t>
      </w:r>
      <w:bookmarkEnd w:id="100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03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一、深度诊断：为什么TOC会成为"幽灵"般的污染物？</w:t>
      </w:r>
      <w:bookmarkEnd w:id="100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厂务经理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："专家，我们的超纯水系统产水TOC一直降不下来，明明UV灯和抛光树脂都刚换过，但终端用水点还是报警。这到底是怎么回事？"</w:t>
      </w:r>
      <w:bookmarkEnd w:id="100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水处理专家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："这其实是典型的'二次污染'现象。在半导体行业，TOC不仅仅是原水里的杂质，更是管路系统内部'释放'出来的产物。我们来拆解一下TOC居高不下的三大根源："</w:t>
      </w:r>
      <w:bookmarkEnd w:id="100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06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🔍 根源一：管路内壁的"生物膜"与"有机析出"</w:t>
      </w:r>
      <w:bookmarkEnd w:id="100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现象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：超纯水具有极强的"饥饿性"和腐蚀性，它会像饥饿的人一样，试图从接触到的任何物质中"掠夺"分子。</w:t>
      </w:r>
      <w:bookmarkEnd w:id="100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：如果管路内壁（特别是焊接热影响区）钝化膜不完整，金属离子会析出，为微生物提供营养。微生物在管壁形成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生物膜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，这些生物膜及其代谢产物就是持续的TOC释放源。</w:t>
      </w:r>
      <w:bookmarkEnd w:id="100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0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数据支撑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：研究表明，约60%的制药和半导体用水系统污染事件与生物膜相关。即使肉眼看不见，微观层面的生物膜也在源源不断地释放有机碳。</w:t>
      </w:r>
      <w:bookmarkEnd w:id="100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0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🔧 根源二：焊接缺陷导致的"死角"与"渗透"</w:t>
      </w:r>
      <w:bookmarkEnd w:id="101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1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焊接氧化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：如果管路施工时氩气保护不到位，焊缝内侧会形成氧化皮（焊渣）。这些粗糙表面是有机物附着的温床，且难以通过常规清洗去除。</w:t>
      </w:r>
      <w:bookmarkEnd w:id="101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渗透问题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：普通管道材料的致密性不足，空气中的挥发性有机物（VOCs）可能透过管壁渗透进入水中，尤其是在负压区。</w:t>
      </w:r>
      <w:bookmarkEnd w:id="101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13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⚖️ 根源三：流速与死水区的"沉积效应"</w:t>
      </w:r>
      <w:bookmarkEnd w:id="101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流速不足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：根据流体力学原理，如果循环回路流速低于1.5m/s，水中的微量颗粒物和有机物容易在重力作用下沉积。</w:t>
      </w:r>
      <w:bookmarkEnd w:id="101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死角滋生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：支管过长（超过6倍管径）或阀门设计不当形成的"死水区"，水流无法冲刷，导致污染物累积，最终爆发式释放，造成TOC瞬间飙升。</w:t>
      </w:r>
      <w:bookmarkEnd w:id="101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16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二、策略分析：现有维护方法的优劣势对比</w:t>
      </w:r>
      <w:bookmarkEnd w:id="101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厂务经理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："那我们平时做的酸碱清洗和臭氧消毒，为什么效果越来越差？"</w:t>
      </w:r>
      <w:bookmarkEnd w:id="101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1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水处理专家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："常规清洗只能去除表面的松散污垢，对于深层的钝化膜修复和顽固有机物去除效果有限。我为你整理了一个针对TOC控制的维护方案对比："</w:t>
      </w:r>
      <w:bookmarkEnd w:id="1018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000"/>
        <w:gridCol w:w="4000"/>
        <w:gridCol w:w="4000"/>
        <w:gridCol w:w="4000"/>
        <w:gridCol w:w="4000"/>
      </w:tblGrid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1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维护方案</w:t>
            </w:r>
            <w:bookmarkEnd w:id="101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核心原理</w:t>
            </w:r>
            <w:bookmarkEnd w:id="102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优势</w:t>
            </w:r>
            <w:bookmarkEnd w:id="102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劣势</w:t>
            </w:r>
            <w:bookmarkEnd w:id="102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适用场景</w:t>
            </w:r>
            <w:bookmarkEnd w:id="1023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传统酸碱清洗</w:t>
            </w:r>
            <w:bookmarkEnd w:id="102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化学溶解与中和</w:t>
            </w:r>
            <w:bookmarkEnd w:id="102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6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去除水垢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：对钙镁离子沉积有效。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成本低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：操作简单。</w:t>
            </w:r>
            <w:bookmarkEnd w:id="1026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无法修复钝化膜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：仅能清洁，不能构建保护层。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残留风险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：冲洗不彻底会引入新的离子污染。</w:t>
            </w:r>
            <w:bookmarkEnd w:id="102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仅适用于预处理阶段，不适用于UPW循环回路末端。</w:t>
            </w:r>
            <w:bookmarkEnd w:id="1028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2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臭氧/过氧化氢消毒</w:t>
            </w:r>
            <w:bookmarkEnd w:id="102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强氧化杀菌</w:t>
            </w:r>
            <w:bookmarkEnd w:id="103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杀菌力强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：能有效杀灭生物膜。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无残留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：分解后为氧气和水。</w:t>
            </w:r>
            <w:bookmarkEnd w:id="103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腐蚀风险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：高浓度臭氧可能加速不锈钢点蚀。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对TOC去除有限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：只能氧化部分有机物，不能彻底矿化。</w:t>
            </w:r>
            <w:bookmarkEnd w:id="103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周期性杀菌，作为辅助手段。</w:t>
            </w:r>
            <w:bookmarkEnd w:id="1033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高温钝化</w:t>
            </w:r>
            <w:bookmarkEnd w:id="103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高温促进氧化膜生成</w:t>
            </w:r>
            <w:bookmarkEnd w:id="103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6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修复力强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：80℃以上热水可促进铬氧化物膜再生。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无化学残留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：物理方法，环保。</w:t>
            </w:r>
            <w:bookmarkEnd w:id="1036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能耗高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：加热大量超纯水成本高。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时间长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：需要长时间循环维持温度。</w:t>
            </w:r>
            <w:bookmarkEnd w:id="103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适用于新建系统或年度大修。</w:t>
            </w:r>
            <w:bookmarkEnd w:id="1038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3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化学钝化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(硝酸/柠檬酸)</w:t>
            </w:r>
            <w:bookmarkEnd w:id="103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化学氧化构建保护膜</w:t>
            </w:r>
            <w:bookmarkEnd w:id="104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彻底修复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：去除游离铁，富集铬元素，构建致密屏障。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长效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：一次钝化可维持较长时间稳定。</w:t>
            </w:r>
            <w:bookmarkEnd w:id="104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操作复杂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：需严格控制浓度、温度和pH值。</w:t>
            </w:r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危化品管理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：涉及强酸，需严格的安全防护。</w:t>
            </w:r>
            <w:bookmarkEnd w:id="104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43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解决TOC偏高的根本方案</w:t>
            </w:r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，适用于水质严重波动或新管路投用。</w:t>
            </w:r>
            <w:bookmarkEnd w:id="1043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44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三、解决方案：如何构建"零TOC"的管路钝化体系？</w:t>
      </w:r>
      <w:bookmarkEnd w:id="104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5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厂务经理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："看来必须得做深度钝化了。为了保证这次处理后TOC能稳定在1ppb以下，我们应该执行怎样的标准？"</w:t>
      </w:r>
      <w:bookmarkEnd w:id="104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水处理专家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："要彻底解决TOC问题，必须执行一套'清洗-钝化-验证'的闭环方案，核心在于'重建金属免疫系统'："</w:t>
      </w:r>
      <w:bookmarkEnd w:id="104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47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🧹 第一阶段：彻底的"大扫除"（清洗）</w:t>
      </w:r>
      <w:bookmarkEnd w:id="104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物理冲洗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：首先使用超纯水以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3m/s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的高流速（高于正常运行流速）循环冲洗，去除松散的颗粒物。</w:t>
      </w:r>
      <w:bookmarkEnd w:id="104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4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碱洗去油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：使用1% NaOH溶液在60℃下循环1-2小时。这一步至关重要，因为有机物（油污）会阻碍钝化液与金属表面的接触。</w:t>
      </w:r>
      <w:bookmarkEnd w:id="104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酸洗去垢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：使用3%-5%硝酸或柠檬酸溶液，去除金属氧化物和矿物质沉积，暴露出新鲜的金属表面。</w:t>
      </w:r>
      <w:bookmarkEnd w:id="105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5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🛡️ 第二阶段：构建"金钟罩"（钝化）</w:t>
      </w:r>
      <w:bookmarkEnd w:id="1051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钝化液配方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：推荐使用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8%-20%的硝酸溶液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（或环保型柠檬酸配方），温度控制在40-50℃。</w:t>
      </w:r>
      <w:bookmarkEnd w:id="1052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反应机理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：酸液会溶解不锈钢表面的游离铁（阳极），而保留并富集铬元素（阴极）。铬与水中的氧结合，形成一层极薄（≥1.5nm）但致密的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Cr₂O₃（氧化铬）保护膜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。</w:t>
      </w:r>
      <w:bookmarkEnd w:id="1053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时间控制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：循环处理至少2-4小时，确保药液覆盖到每一个弯头、阀门和焊缝。</w:t>
      </w:r>
      <w:bookmarkEnd w:id="105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5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🔬 第三阶段：严苛的"验收关"（验证）</w:t>
      </w:r>
      <w:bookmarkEnd w:id="1055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蓝点测试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：这是最直观的检验方法。在管道表面涂抹1%铁氰化钾溶液，如果30秒内</w:t>
      </w:r>
      <w:r>
        <w:rPr>
          <w:rFonts w:ascii="宋体" w:cs="宋体" w:eastAsia="宋体" w:hAnsi="宋体"/>
          <w:sz w:val="24"/>
          <w:spacing w:val="0"/>
          <w:b w:val="on"/>
          <w:i w:val="off"/>
        </w:rPr>
        <w:t>不出现蓝色斑点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，说明表面没有游离铁，钝化膜完整。</w:t>
      </w:r>
      <w:bookmarkEnd w:id="1056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TOC趋势监测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：钝化完成后，系统需连续运行72小时。期间TOC应稳定下降，最终稳定在**&lt;1ppb**（甚至&lt;0.5ppb），且电阻率维持在18.2MΩ·cm。</w:t>
      </w:r>
      <w:bookmarkEnd w:id="1057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5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内窥镜检查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：随机抽取焊缝或死角，使用内窥镜观察内壁，必须呈现均匀的金属光泽，无氧化色或麻点。</w:t>
      </w:r>
      <w:bookmarkEnd w:id="105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59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📊 管路钝化前后TOC对比分析</w:t>
      </w:r>
      <w:bookmarkEnd w:id="1059"/>
    </w:p>
    <w:tbl>
      <w:tblPr>
        <w:tblW w:type="auto" w:w="0"/>
        <w:jc w:val="start"/>
        <w:tblBorders>
          <w:top w:color="auto" w:space="0" w:sz="8" w:val="single"/>
          <w:left w:color="auto" w:space="0" w:sz="8" w:val="single"/>
          <w:bottom w:color="auto" w:space="0" w:sz="8" w:val="single"/>
          <w:right w:color="auto" w:space="0" w:sz="8" w:val="single"/>
          <w:insideH w:color="auto" w:space="0" w:sz="8" w:val="single"/>
          <w:insideV w:color="auto" w:space="0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000"/>
        <w:gridCol w:w="4000"/>
        <w:gridCol w:w="4000"/>
        <w:gridCol w:w="4000"/>
      </w:tblGrid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指标</w:t>
            </w:r>
            <w:bookmarkEnd w:id="106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1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钝化前</w:t>
            </w:r>
            <w:bookmarkEnd w:id="1061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2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钝化后</w:t>
            </w:r>
            <w:bookmarkEnd w:id="106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改善效果</w:t>
            </w:r>
            <w:bookmarkEnd w:id="1063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4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TOC浓度</w:t>
            </w:r>
            <w:bookmarkEnd w:id="106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5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2.5 ± 0.8 ppb</w:t>
            </w:r>
            <w:bookmarkEnd w:id="1065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6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0.6 ± 0.2 ppb</w:t>
            </w:r>
            <w:bookmarkEnd w:id="1066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7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降低76%</w:t>
            </w:r>
            <w:bookmarkEnd w:id="1067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8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电阻率</w:t>
            </w:r>
            <w:bookmarkEnd w:id="106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69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17.8 MΩ·cm</w:t>
            </w:r>
            <w:bookmarkEnd w:id="1069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0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18.2 MΩ·cm</w:t>
            </w:r>
            <w:bookmarkEnd w:id="1070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1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提升2.2%</w:t>
            </w:r>
            <w:bookmarkEnd w:id="1071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2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生物膜覆盖率</w:t>
            </w:r>
            <w:bookmarkEnd w:id="1072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3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15%</w:t>
            </w:r>
            <w:bookmarkEnd w:id="1073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4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&lt;1%</w:t>
            </w:r>
            <w:bookmarkEnd w:id="1074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5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减少93%</w:t>
            </w:r>
            <w:bookmarkEnd w:id="1075"/>
          </w:p>
        </w:tc>
      </w:tr>
      <w:tr>
        <w:trPr>
          <w:trHeight w:hRule="atLeast" w:val="800"/>
        </w:trPr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6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系统稳定性</w:t>
            </w:r>
            <w:bookmarkEnd w:id="1076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7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波动大</w:t>
            </w:r>
            <w:bookmarkEnd w:id="1077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8" w:name=""/>
            <w:r>
              <w:rPr>
                <w:rFonts w:ascii="宋体" w:cs="宋体" w:eastAsia="宋体" w:hAnsi="宋体"/>
                <w:sz w:val="24"/>
                <w:spacing w:val="0"/>
                <w:b w:val="off"/>
                <w:i w:val="off"/>
              </w:rPr>
              <w:t>稳定</w:t>
            </w:r>
            <w:bookmarkEnd w:id="1078"/>
          </w:p>
        </w:tc>
        <w:tc>
          <w:tcPr>
            <w:tcW w:type="dxa" w:w="4000"/>
          </w:tcPr>
          <w:p>
            <w:pPr>
              <w:pageBreakBefore w:val="off"/>
              <w:tabs/>
              <w:wordWrap w:val="on"/>
              <w:spacing w:after="0" w:before="0"/>
              <w:ind w:firstLine="0" w:hanging="0" w:left="0" w:right="0"/>
              <w:jc w:val="left"/>
              <w:textAlignment w:val="auto"/>
              <w:rPr>
                <w:sz w:val="24"/>
              </w:rPr>
            </w:pPr>
            <w:bookmarkStart w:id="1079" w:name=""/>
            <w:r>
              <w:rPr>
                <w:rFonts w:ascii="宋体" w:cs="宋体" w:eastAsia="宋体" w:hAnsi="宋体"/>
                <w:sz w:val="24"/>
                <w:spacing w:val="0"/>
                <w:b w:val="on"/>
                <w:i w:val="off"/>
              </w:rPr>
              <w:t>显著提升</w:t>
            </w:r>
            <w:bookmarkEnd w:id="1079"/>
          </w:p>
        </w:tc>
      </w:tr>
    </w:tbl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80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💡 实施建议与注意事项</w:t>
      </w:r>
      <w:bookmarkEnd w:id="108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81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⚠️ 安全防护要点</w:t>
      </w:r>
      <w:bookmarkEnd w:id="1081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2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个人防护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：操作人员需穿戴防酸服、面罩、手套等全套防护装备</w:t>
      </w:r>
      <w:bookmarkEnd w:id="1082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3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通风系统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：确保施工区域通风良好，配备应急冲洗装置</w:t>
      </w:r>
      <w:bookmarkEnd w:id="1083"/>
    </w:p>
    <w:p>
      <w:pPr>
        <w:pageBreakBefore w:val="off"/>
        <w:numPr>
          <w:ilvl w:val="0"/>
          <w:numId w:val="1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4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废物处理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：钝化废液需中和处理后排放，符合环保要求</w:t>
      </w:r>
      <w:bookmarkEnd w:id="108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8"/>
        </w:rPr>
      </w:pPr>
      <w:bookmarkStart w:id="1085" w:name=""/>
      <w:r>
        <w:rPr>
          <w:rFonts w:ascii="宋体" w:cs="宋体" w:eastAsia="宋体" w:hAnsi="宋体"/>
          <w:sz w:val="28"/>
          <w:spacing w:val="0"/>
          <w:b w:val="on"/>
          <w:i w:val="off"/>
        </w:rPr>
        <w:t>📈 效果预期</w:t>
      </w:r>
      <w:bookmarkEnd w:id="1085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6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短期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：TOC在48小时内显著下降</w:t>
      </w:r>
      <w:bookmarkEnd w:id="1086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7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中期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：系统稳定性明显改善，报警频率降低</w:t>
      </w:r>
      <w:bookmarkEnd w:id="1087"/>
    </w:p>
    <w:p>
      <w:pPr>
        <w:pageBreakBefore w:val="off"/>
        <w:numPr>
          <w:ilvl w:val="0"/>
          <w:numId w:val="2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88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长期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：钝化膜可持续保护管路6-12个月</w:t>
      </w:r>
      <w:bookmarkEnd w:id="1088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89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厂务经理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："明白了！我们将立即启动钝化程序，并重点检查焊缝和死角。"</w:t>
      </w:r>
      <w:bookmarkEnd w:id="1089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90" w:name=""/>
      <w:r>
        <w:rPr>
          <w:rFonts w:ascii="宋体" w:cs="宋体" w:eastAsia="宋体" w:hAnsi="宋体"/>
          <w:sz w:val="24"/>
          <w:spacing w:val="0"/>
          <w:b w:val="on"/>
          <w:i w:val="off"/>
        </w:rPr>
        <w:t>水处理专家</w:t>
      </w:r>
      <w:r>
        <w:rPr>
          <w:rFonts w:ascii="宋体" w:cs="宋体" w:eastAsia="宋体" w:hAnsi="宋体"/>
          <w:sz w:val="24"/>
          <w:spacing w:val="0"/>
          <w:b w:val="off"/>
          <w:i w:val="off"/>
        </w:rPr>
        <w:t>："记住，超纯水系统'安装即污染'，只有完美的钝化膜，才能抵御微观世界的侵蚀，守护芯片的良率。"</w:t>
      </w:r>
      <w:bookmarkEnd w:id="1090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36"/>
        </w:rPr>
      </w:pPr>
      <w:bookmarkStart w:id="1091" w:name=""/>
      <w:r>
        <w:rPr>
          <w:rFonts w:ascii="宋体" w:cs="宋体" w:eastAsia="宋体" w:hAnsi="宋体"/>
          <w:sz w:val="36"/>
          <w:spacing w:val="0"/>
          <w:b w:val="on"/>
          <w:i w:val="off"/>
        </w:rPr>
        <w:t>📚 参考标准与规范</w:t>
      </w:r>
      <w:bookmarkEnd w:id="1091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2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ASTM A967: 化学钝化处理标准规范</w:t>
      </w:r>
      <w:bookmarkEnd w:id="1092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3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SEMI F57: 半导体设备超纯水管路标准</w:t>
      </w:r>
      <w:bookmarkEnd w:id="1093"/>
    </w:p>
    <w:p>
      <w:pPr>
        <w:pageBreakBefore w:val="off"/>
        <w:numPr>
          <w:ilvl w:val="0"/>
          <w:numId w:val="3"/>
        </w:numPr>
        <w:tabs/>
        <w:wordWrap w:val="on"/>
        <w:spacing w:after="0" w:before="160"/>
        <w:ind w:hanging="440" w:left="440" w:right="0"/>
        <w:jc w:val="left"/>
        <w:textAlignment w:val="auto"/>
        <w:rPr>
          <w:sz w:val="24"/>
        </w:rPr>
      </w:pPr>
      <w:bookmarkStart w:id="1094" w:name=""/>
      <w:r>
        <w:rPr>
          <w:rFonts w:ascii="宋体" w:cs="宋体" w:eastAsia="宋体" w:hAnsi="宋体"/>
          <w:sz w:val="24"/>
          <w:spacing w:val="0"/>
          <w:b w:val="off"/>
          <w:i w:val="off"/>
        </w:rPr>
        <w:t>ISO 14644: 洁净室及相关受控环境标准</w:t>
      </w:r>
      <w:bookmarkEnd w:id="1094"/>
    </w:p>
    <w:p>
      <w:pPr>
        <w:pageBreakBefore w:val="off"/>
        <w:tabs/>
        <w:wordWrap w:val="on"/>
        <w:spacing w:after="0" w:before="160"/>
        <w:ind w:left="0" w:right="0"/>
        <w:jc w:val="left"/>
        <w:textAlignment w:val="auto"/>
        <w:rPr>
          <w:sz w:val="24"/>
        </w:rPr>
      </w:pPr>
      <w:bookmarkStart w:id="1095" w:name=""/>
      <w:r>
        <w:rPr>
          <w:rFonts w:ascii="宋体" w:cs="宋体" w:eastAsia="宋体" w:hAnsi="宋体"/>
          <w:sz w:val="24"/>
          <w:spacing w:val="0"/>
          <w:b w:val="off"/>
          <w:i w:val="on"/>
        </w:rPr>
        <w:t>通过系统性的管路钝化处理，不仅能有效解决TOC居高不下的问题，更能从根本上提升超纯水系统的整体性能，为半导体制造提供可靠的水质保障。</w:t>
      </w:r>
      <w:bookmarkEnd w:id="1095"/>
    </w:p>
    <w:p>
      <w:pPr>
        <w:jc w:val="left"/>
      </w:pPr>
      <w:r>
        <w:rPr/>
        <w:t>(AI生成)</w:t>
      </w:r>
    </w:p>
    <w:sectPr>
      <w:footerReference r:id="rId4"/>
      <w:headerReference r:id="rId5" w:type="default"/>
      <w:pgSz w:h="15840" w:w="11900"/>
      <w:pgMar w:bottom="1440" w:footer="720" w:header="720" w:left="1800" w:right="1800" w:top="1440"/>
      <w:cols w:num="1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0">
    <w:multiLevelType w:val="multilevel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Restart w:val="1"/>
      <w:lvlText w:val="%1.%2."/>
      <w:lvlJc w:val="left"/>
      <w:pPr>
        <w:ind w:left="1100" w:hanging="660"/>
      </w:pPr>
    </w:lvl>
    <w:lvl w:ilvl="2">
      <w:start w:val="1"/>
      <w:numFmt w:val="decimal"/>
      <w:lvlRestart w:val="1"/>
      <w:lvlText w:val="%1.%2.%3."/>
      <w:lvlJc w:val="left"/>
      <w:pPr>
        <w:ind w:left="1760" w:hanging="880"/>
      </w:pPr>
    </w:lvl>
    <w:lvl w:ilvl="3">
      <w:start w:val="1"/>
      <w:numFmt w:val="decimal"/>
      <w:lvlRestart w:val="1"/>
      <w:lvlText w:val="%1.%2.%3.%4."/>
      <w:lvlJc w:val="left"/>
      <w:pPr>
        <w:ind w:left="2420" w:hanging="1100"/>
      </w:pPr>
    </w:lvl>
    <w:lvl w:ilvl="4">
      <w:start w:val="1"/>
      <w:numFmt w:val="decimal"/>
      <w:lvlRestart w:val="1"/>
      <w:lvlText w:val="%1.%2.%3.%4.%5."/>
      <w:lvlJc w:val="left"/>
      <w:pPr>
        <w:ind w:left="3080" w:hanging="1320"/>
      </w:pPr>
    </w:lvl>
    <w:lvl w:ilvl="5">
      <w:start w:val="1"/>
      <w:numFmt w:val="decimal"/>
      <w:lvlRestart w:val="1"/>
      <w:lvlText w:val="%1.%2.%3.%4.%5.%6."/>
      <w:lvlJc w:val="left"/>
      <w:pPr>
        <w:ind w:left="3740" w:hanging="1540"/>
      </w:pPr>
    </w:lvl>
    <w:lvl w:ilvl="6">
      <w:start w:val="1"/>
      <w:numFmt w:val="decimal"/>
      <w:lvlRestart w:val="1"/>
      <w:lvlText w:val="%1.%2.%3.%4.%5.%6.%7."/>
      <w:lvlJc w:val="left"/>
      <w:pPr>
        <w:ind w:left="4400" w:hanging="1760"/>
      </w:pPr>
    </w:lvl>
    <w:lvl w:ilvl="7">
      <w:start w:val="1"/>
      <w:numFmt w:val="decimal"/>
      <w:lvlRestart w:val="1"/>
      <w:lvlText w:val="%1.%2.%3.%4.%5.%6.%7.%8."/>
      <w:lvlJc w:val="left"/>
      <w:pPr>
        <w:ind w:left="5060" w:hanging="1980"/>
      </w:pPr>
    </w:lvl>
    <w:lvl w:ilvl="8">
      <w:start w:val="1"/>
      <w:numFmt w:val="decimal"/>
      <w:lvlRestart w:val="1"/>
      <w:lvlText w:val="%1.%2.%3.%4.%5.%6.%7.%8.%9."/>
      <w:lvlJc w:val="left"/>
      <w:pPr>
        <w:ind w:left="5720" w:hanging="2200"/>
      </w:p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left="440" w:hanging="440"/>
      </w:pPr>
      <w:rPr>
        <w:rFonts w:ascii="Arial Unicode MS" w:hAnsi="Arial Unicode MS" w:hint="default"/>
      </w:rPr>
    </w:lvl>
    <w:lvl w:ilvl="1">
      <w:start w:val="1"/>
      <w:numFmt w:val="bullet"/>
      <w:lvlText w:val="◦"/>
      <w:lvlJc w:val="left"/>
      <w:pPr>
        <w:ind w:left="880" w:hanging="440"/>
      </w:pPr>
      <w:rPr>
        <w:rFonts w:ascii="Arial Unicode MS" w:hAnsi="Arial Unicode MS" w:hint="default"/>
      </w:rPr>
    </w:lvl>
    <w:lvl w:ilvl="2">
      <w:start w:val="1"/>
      <w:numFmt w:val="bullet"/>
      <w:lvlText w:val="▪"/>
      <w:lvlJc w:val="left"/>
      <w:pPr>
        <w:ind w:left="1320" w:hanging="440"/>
      </w:pPr>
      <w:rPr>
        <w:rFonts w:ascii="Arial Unicode MS" w:hAnsi="Arial Unicode MS" w:hint="default"/>
      </w:rPr>
    </w:lvl>
    <w:lvl w:ilvl="3">
      <w:start w:val="1"/>
      <w:numFmt w:val="bullet"/>
      <w:lvlText w:val="•"/>
      <w:lvlJc w:val="left"/>
      <w:pPr>
        <w:ind w:left="1760" w:hanging="440"/>
      </w:pPr>
      <w:rPr>
        <w:rFonts w:ascii="Arial Unicode MS" w:hAnsi="Arial Unicode MS" w:hint="default"/>
      </w:rPr>
    </w:lvl>
    <w:lvl w:ilvl="4">
      <w:start w:val="1"/>
      <w:numFmt w:val="bullet"/>
      <w:lvlText w:val="◦"/>
      <w:lvlJc w:val="left"/>
      <w:pPr>
        <w:ind w:left="2200" w:hanging="440"/>
      </w:pPr>
      <w:rPr>
        <w:rFonts w:ascii="Arial Unicode MS" w:hAnsi="Arial Unicode MS" w:hint="default"/>
      </w:rPr>
    </w:lvl>
    <w:lvl w:ilvl="5">
      <w:start w:val="1"/>
      <w:numFmt w:val="bullet"/>
      <w:lvlText w:val="▪"/>
      <w:lvlJc w:val="left"/>
      <w:pPr>
        <w:ind w:left="2640" w:hanging="440"/>
      </w:pPr>
      <w:rPr>
        <w:rFonts w:ascii="Arial Unicode MS" w:hAnsi="Arial Unicode MS" w:hint="default"/>
      </w:rPr>
    </w:lvl>
    <w:lvl w:ilvl="6">
      <w:start w:val="1"/>
      <w:numFmt w:val="bullet"/>
      <w:lvlText w:val="•"/>
      <w:lvlJc w:val="left"/>
      <w:pPr>
        <w:ind w:left="3080" w:hanging="440"/>
      </w:pPr>
      <w:rPr>
        <w:rFonts w:ascii="Arial Unicode MS" w:hAnsi="Arial Unicode MS" w:hint="default"/>
      </w:rPr>
    </w:lvl>
    <w:lvl w:ilvl="7">
      <w:start w:val="1"/>
      <w:numFmt w:val="bullet"/>
      <w:lvlText w:val="◦"/>
      <w:lvlJc w:val="left"/>
      <w:pPr>
        <w:ind w:left="3520" w:hanging="440"/>
      </w:pPr>
      <w:rPr>
        <w:rFonts w:ascii="Arial Unicode MS" w:hAnsi="Arial Unicode MS" w:hint="default"/>
      </w:rPr>
    </w:lvl>
    <w:lvl w:ilvl="8">
      <w:start w:val="1"/>
      <w:numFmt w:val="bullet"/>
      <w:lvlText w:val="▪"/>
      <w:lvlJc w:val="left"/>
      <w:pPr>
        <w:ind w:left="3960" w:hanging="440"/>
      </w:pPr>
      <w:rPr>
        <w:rFonts w:ascii="Arial Unicode MS" w:hAnsi="Arial Unicode M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theme/theme-1.xml" Type="http://schemas.openxmlformats.org/officeDocument/2006/relationships/theme"/><Relationship Id="rId3" Target="numbering.xml" Type="http://schemas.openxmlformats.org/officeDocument/2006/relationships/numbering"/><Relationship Id="rId4" Target="footer1.xml" Type="http://schemas.openxmlformats.org/officeDocument/2006/relationships/footer"/><Relationship Id="rId5" Target="header1.xml" Type="http://schemas.openxmlformats.org/officeDocument/2006/relationships/head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2026-04-16T04:34:28Z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AIGC" pid="2">
    <vt:lpwstr>{"ContentPropagator":"001191440101MA9Y9T4H7A00000","Label":"1","ReservedCode1":"6TjVDKA4Pb7eXzHgt4+TRQPZosGPPPIIHR0u25rqTPo=","ProduceID":"doc_sgs:cf796756-cebf-4d90-b87b-09a1e9094cac","ReservedCode2":"6TjVDKA4Pb7eXzHgt4+TRQPZosGPPPIIHR0u25rqTPo=","PropagateID":"doc_sgs:cf796756-cebf-4d90-b87b-09a1e9094cac","ContentProducer":"001191440101MA9Y9T4H7A00000"}</vt:lpwstr>
  </property>
</Properties>
</file>