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2026水处理运维白皮书：泵、阀、仪表的日常维护与故障排查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目录</w:t>
      </w:r>
      <w:bookmarkEnd w:id="1002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引言</w:t>
      </w:r>
      <w:bookmarkEnd w:id="1003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核心设备：水泵系统的深度维护与革新</w:t>
      </w:r>
      <w:bookmarkEnd w:id="1004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关键控制：电动阀门的选型智慧与智能诊断</w:t>
      </w:r>
      <w:bookmarkEnd w:id="1005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感知神经：水质仪表的精准校准与闭环控制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结语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8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1. 引言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随着水处理行业向智能化、精细化方向发展，2026年的运维工作不再局限于传统的"坏了再修"，而是转向"预测性维护"与"高效运维"。设备（泵、阀、仪表）作为水处理系统的"心脏"、"关节"与"神经"，其稳定性直接决定了出水水质与运营成本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本白皮书结合2026年最新的技术趋势与行业实践，重点阐述三大核心设备的日常维护规范、常见故障排查逻辑及前沿技术应用。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11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2. 核心设备：水泵系统的深度维护与革新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水泵是水处理系统的动力核心，其故障往往导致全线停产。2026年的运维重点在于预防汽蚀、干转及机械密封的快速修复。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2.1 日常巡检与预防性维护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运行监测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⚙️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每班次需检查水泵的振动、异响及温度</w:t>
      </w:r>
      <w:bookmarkEnd w:id="1015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重点关注进出口压力与电流值</w:t>
      </w:r>
      <w:bookmarkEnd w:id="1016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若电流持续升高，可能暗示叶轮结垢或管道堵塞</w:t>
      </w:r>
      <w:bookmarkEnd w:id="1017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若压力波动大，需排查是否发生汽蚀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润滑管理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🛢️</w:t>
      </w:r>
      <w:bookmarkEnd w:id="1019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轴承每3-6个月补油或换油（如锂基脂）</w:t>
      </w:r>
      <w:bookmarkEnd w:id="1020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齿轮箱每半年至一年换油</w:t>
      </w:r>
      <w:bookmarkEnd w:id="1021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换油前务必清理箱内残油与铁屑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防干转保护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⚠️</w:t>
      </w:r>
      <w:bookmarkEnd w:id="1023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干转是水泵的"头号杀手"</w:t>
      </w:r>
      <w:bookmarkEnd w:id="1024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会导致密封与轴承瞬间损坏</w:t>
      </w:r>
      <w:bookmarkEnd w:id="1025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必须确保液位传感器与浮球开关灵敏有效</w:t>
      </w:r>
      <w:bookmarkEnd w:id="1026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严禁泵在无液状态下空转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2.2 常见故障与排查</w:t>
      </w:r>
      <w:bookmarkEnd w:id="1028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故障现象</w:t>
            </w:r>
            <w:bookmarkEnd w:id="102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可能原因</w:t>
            </w:r>
            <w:bookmarkEnd w:id="103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解决方案</w:t>
            </w:r>
            <w:bookmarkEnd w:id="103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图标</w:t>
            </w:r>
            <w:bookmarkEnd w:id="1032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不出水/流量不足</w:t>
            </w:r>
            <w:bookmarkEnd w:id="103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吸入口堵塞、泵腔存气、叶轮磨损</w:t>
            </w:r>
            <w:bookmarkEnd w:id="103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清理滤网/叶轮流道、排气、更换叶轮</w:t>
            </w:r>
            <w:bookmarkEnd w:id="103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💧</w:t>
            </w:r>
            <w:bookmarkEnd w:id="1036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振动/噪音过大</w:t>
            </w:r>
            <w:bookmarkEnd w:id="103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汽蚀、联轴器不同心、轴承损坏</w:t>
            </w:r>
            <w:bookmarkEnd w:id="103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增加吸入压力、校正同心度（偏差&lt;0.1mm）、更换轴承</w:t>
            </w:r>
            <w:bookmarkEnd w:id="103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🔊</w:t>
            </w:r>
            <w:bookmarkEnd w:id="1040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机械密封泄漏</w:t>
            </w:r>
            <w:bookmarkEnd w:id="104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密封面划伤、弹簧失效、干转</w:t>
            </w:r>
            <w:bookmarkEnd w:id="104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更换机封、检查冷却冲洗管路</w:t>
            </w:r>
            <w:bookmarkEnd w:id="104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🚿</w:t>
            </w:r>
            <w:bookmarkEnd w:id="1044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2.3 2026技术亮点：免拆电机维护技术</w:t>
      </w:r>
      <w:bookmarkEnd w:id="10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传统立式多级泵更换机械密封需拆卸笨重的电机，耗时耗力。2026年，以威乐（Wilo）Helix系列为代表的新型泵体已普及"中间节+可拆卸轴套"专利设计。运维人员无需拆卸电机，单人即可在1小时内完成机封更换，运维效率提升80%，大幅降低了人力成本与停机风险。</w:t>
      </w:r>
      <w:bookmarkEnd w:id="10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47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3. 关键控制：电动阀门的选型智慧与智能诊断</w:t>
      </w:r>
      <w:bookmarkEnd w:id="10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阀门控制着水流的通断与调节。在2026年，阀门运维正从"手动定期保养"向"智能状态监测"转型。</w:t>
      </w:r>
      <w:bookmarkEnd w:id="10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3.1 选型与日常保养策略</w:t>
      </w:r>
      <w:bookmarkEnd w:id="10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防堵塞设计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🚫</w:t>
      </w:r>
      <w:bookmarkEnd w:id="1050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污水环境应首选偏心旋转阀或蝶阀</w:t>
      </w:r>
      <w:bookmarkEnd w:id="1051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流道通畅不易卡堵</w:t>
      </w:r>
      <w:bookmarkEnd w:id="1052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避免在含泥沙工况使用流道狭窄的截止阀</w:t>
      </w:r>
      <w:bookmarkEnd w:id="10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密封与润滑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🔧</w:t>
      </w:r>
      <w:bookmarkEnd w:id="1054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污水阀门优先选用金属硬密封以耐磨损</w:t>
      </w:r>
      <w:bookmarkEnd w:id="1055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供水阀门则追求零泄漏（ANSI Class VI级）</w:t>
      </w:r>
      <w:bookmarkEnd w:id="1056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阀杆与轴承需每月加注润滑脂，防止卡涩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执行器防护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🛡️</w:t>
      </w:r>
      <w:bookmarkEnd w:id="1058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户外及潮湿环境需达到IP65防护等级</w:t>
      </w:r>
      <w:bookmarkEnd w:id="1059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涉及厌氧池等区域必须具备防爆功能（Ex d IIB T4）</w:t>
      </w:r>
      <w:bookmarkEnd w:id="10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3.2 故障排查与智能升级</w:t>
      </w:r>
      <w:bookmarkEnd w:id="10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常见故障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❌</w:t>
      </w:r>
      <w:bookmarkEnd w:id="1062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阀门卡死通常由杂质堆积引起，需定期高压冲洗阀腔</w:t>
      </w:r>
      <w:bookmarkEnd w:id="1063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开关不到位多因限位开关偏移或扭矩过大，需重新校准</w:t>
      </w:r>
      <w:bookmarkEnd w:id="10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智能诊断技术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📊</w:t>
      </w:r>
      <w:bookmarkEnd w:id="10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年，先进的故障诊断系统（如天津奥美专利技术）已能利用振动声学数据与动态自适应波束形成算法，精准识别阀门的气蚀故障，分类准确率超92%。通过中控室即可实时监测阀门开度、电机温度等参数，将"事后维修"转变为"事前预判"。</w:t>
      </w:r>
      <w:bookmarkEnd w:id="10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67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4. 感知神经：水质仪表的精准校准与闭环控制</w:t>
      </w:r>
      <w:bookmarkEnd w:id="10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水质仪表是工艺调控的眼睛。2026年的运维核心在于解决传感器漂移与数据传输失真，并充分利用全自动加药装置实现闭环控制。</w:t>
      </w:r>
      <w:bookmarkEnd w:id="10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4.1 仪表维护与数据准确性保障</w:t>
      </w:r>
      <w:bookmarkEnd w:id="10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传感器清洗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🧼</w:t>
      </w:r>
      <w:bookmarkEnd w:id="1070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pH、COD等分析仪的探头易受生物膜或沉积物污染</w:t>
      </w:r>
      <w:bookmarkEnd w:id="1071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需定期（每周/月）使用稀盐酸或无水乙醇清洗电极与比色池</w:t>
      </w:r>
      <w:bookmarkEnd w:id="1072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避免数据漂移</w:t>
      </w:r>
      <w:bookmarkEnd w:id="10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通信故障排查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📶</w:t>
      </w:r>
      <w:bookmarkEnd w:id="1074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针对"数据失联"问题，需分层排查</w:t>
      </w:r>
      <w:bookmarkEnd w:id="1075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检查数采仪天线信号强度、SIM卡状态及Modbus协议匹配性</w:t>
      </w:r>
      <w:bookmarkEnd w:id="1076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若平台数据跳变，需校验寄存器地址或重新标定补偿曲线</w:t>
      </w:r>
      <w:bookmarkEnd w:id="10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7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4.2 全自动加药装置的闭环运维</w:t>
      </w:r>
      <w:bookmarkEnd w:id="10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工作原理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⚙️</w:t>
      </w:r>
      <w:bookmarkEnd w:id="10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利用pH、ORP或电导率传感器实时反馈水质，通过PLC控制计量泵实现精准投加，加药精度可达±1%。</w:t>
      </w:r>
      <w:bookmarkEnd w:id="108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维护要点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✅</w:t>
      </w:r>
      <w:bookmarkEnd w:id="1081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定期检查计量泵单向阀是否磨损（导致药量不准）</w:t>
      </w:r>
      <w:bookmarkEnd w:id="1082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清洗Y型过滤器防止堵塞</w:t>
      </w:r>
      <w:bookmarkEnd w:id="1083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对于加药量波动大的情况，需检查背压阀是否失效或泵管是否老化</w:t>
      </w:r>
      <w:bookmarkEnd w:id="10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85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5. 结语</w:t>
      </w:r>
      <w:bookmarkEnd w:id="108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年的水处理运维，不再是单纯的体力劳动，而是技术密集型的管理工作。通过引入免拆卸泵体技术、智能阀门诊断系统以及高精度的全自动加药闭环控制，我们不仅能大幅降低运维成本，更能确保水处理系统在复杂工况下的高效、稳定运行。</w:t>
      </w:r>
      <w:bookmarkEnd w:id="108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建议运维团队：</w:t>
      </w:r>
      <w:bookmarkEnd w:id="1087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建立数字化台账 📋</w:t>
      </w:r>
      <w:bookmarkEnd w:id="1088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利用趋势分析提前识别隐患 🔍</w:t>
      </w:r>
      <w:bookmarkEnd w:id="1089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真正实现智慧水务的落地 🌐</w:t>
      </w:r>
      <w:bookmarkEnd w:id="10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随着物联网、人工智能等技术的深度融合，未来的水处理运维将更加智能化、自动化，为环境保护和可持续发展贡献力量。</w:t>
      </w:r>
      <w:bookmarkEnd w:id="109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2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本白皮书基于2026年最新行业实践编制，旨在为水处理运维人员提供专业指导。</w:t>
      </w:r>
      <w:bookmarkEnd w:id="1092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2026-04-16T04:54:30Z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mPZCt5VrXQOOD0xc4luzn7V7xAeQ3upgC1rYWCarxwU=","ProduceID":"doc_sgs:86afd35e-37ab-4878-8b56-0b9183268144","ReservedCode2":"mPZCt5VrXQOOD0xc4luzn7V7xAeQ3upgC1rYWCarxwU=","PropagateID":"doc_sgs:86afd35e-37ab-4878-8b56-0b9183268144","ContentProducer":"001191440101MA9Y9T4H7A00000"}</vt:lpwstr>
  </property>
</Properties>
</file>