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锅炉"汽水共腾"应急处理与水质控制指南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摘要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汽水共腾是锅炉运行中的严重事故，会导致蒸汽品质恶化、管道水击甚至爆管风险。本指南结合最新行业规范，为您提供从紧急处理到长期预防的完整解决方案，重点阐述水质控制与排污操作的核心要点。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1. 汽水共腾的危害与识别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1.1 危害分析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蒸汽带水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：导致过热器结垢、管道水击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设备损坏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：可能引发过热器爆管、汽轮机叶片损伤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生产中断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：严重时需紧急停炉，影响正常生产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1.2 识别特征</w:t>
      </w:r>
      <w:bookmarkEnd w:id="1009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水位计剧烈波动，看不清正常水位</w:t>
      </w:r>
      <w:bookmarkEnd w:id="101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蒸汽温度急剧下降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蒸汽管道内发生水击声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法兰连接处冒白汽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2. 紧急处理措施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立即操作步骤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第一步：降低负荷</w:t>
      </w:r>
      <w:bookmarkEnd w:id="1016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迅速减弱燃烧，降低锅炉蒸发量</w:t>
      </w:r>
      <w:bookmarkEnd w:id="101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保持负荷稳定，禁止增加负荷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第二步：全开排污</w:t>
      </w:r>
      <w:bookmarkEnd w:id="1019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全开连续排污阀</w:t>
      </w:r>
      <w:bookmarkEnd w:id="1020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开启事故放水阀或定期排污阀</w:t>
      </w:r>
      <w:bookmarkEnd w:id="102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目标：快速降低锅水含盐量和碱度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第三步：停止加药</w:t>
      </w:r>
      <w:bookmarkEnd w:id="1023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立即停止锅内加药</w:t>
      </w:r>
      <w:bookmarkEnd w:id="1024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避免进一步增加杂质浓度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第四步：加强疏水</w:t>
      </w:r>
      <w:bookmarkEnd w:id="1026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开启过热器、蒸汽管道疏水阀</w:t>
      </w:r>
      <w:bookmarkEnd w:id="1027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防止带水蒸汽损坏后续设备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第五步：维持水位</w:t>
      </w:r>
      <w:bookmarkEnd w:id="1029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监视水位，保持略低于正常水位</w:t>
      </w:r>
      <w:bookmarkEnd w:id="103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补充合格的给水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3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3. 水质控制标准与操作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核心控制指标（GB/T 1576-2018）</w:t>
      </w:r>
      <w:bookmarkEnd w:id="103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指标项目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控制意义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控制范围</w:t>
            </w:r>
            <w:bookmarkEnd w:id="103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总溶解固体(TDS)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防止泡沫形成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根据锅炉压力严格控制</w:t>
            </w:r>
            <w:bookmarkEnd w:id="1039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pH值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防止腐蚀和碱脆</w:t>
            </w:r>
            <w:bookmarkEnd w:id="104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10-12</w:t>
            </w:r>
            <w:bookmarkEnd w:id="1042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硬度</w:t>
            </w:r>
            <w:bookmarkEnd w:id="104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防止结垢</w:t>
            </w:r>
            <w:bookmarkEnd w:id="104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≤0.03 mmol/L</w:t>
            </w:r>
            <w:bookmarkEnd w:id="1045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碱度</w:t>
            </w:r>
            <w:bookmarkEnd w:id="104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防止泡沫过多</w:t>
            </w:r>
            <w:bookmarkEnd w:id="104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4-22 mmol/L</w:t>
            </w:r>
            <w:bookmarkEnd w:id="1048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水质控制要点</w:t>
      </w:r>
      <w:bookmarkEnd w:id="1049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加强化验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：事故期间增加化验频次</w:t>
      </w:r>
      <w:bookmarkEnd w:id="1050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源头治理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：检查软化水设备是否失效</w:t>
      </w:r>
      <w:bookmarkEnd w:id="1051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参数监控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：重点监控电导率和氯离子含量</w:t>
      </w:r>
      <w:bookmarkEnd w:id="1052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给水处理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：确保补给水硬度和氯离子达标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4. 排污操作规范指南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定期排污（底部排污）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目的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：排出锅炉底部泥渣、水垢碎片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操作时机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：低负荷、高水位时进行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标准操作步骤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58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预热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：缓慢开启一次阀，再缓慢开启二次阀</w:t>
      </w:r>
      <w:bookmarkEnd w:id="1059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排污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：全开二次阀，时间控制在30秒内</w:t>
      </w:r>
      <w:bookmarkEnd w:id="1060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关闭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：先关二次阀，再关一次阀</w:t>
      </w:r>
      <w:bookmarkEnd w:id="1061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检查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：确认阀门关严，无泄漏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操作口诀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：先开后关，慢开慢关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连续排污（表面排污）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目的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：排出水面附近泡沫和高浓度盐水</w:t>
      </w:r>
      <w:bookmarkEnd w:id="10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操作要点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66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根据化验结果调整开度</w:t>
      </w:r>
      <w:bookmarkEnd w:id="1067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保持连续排污畅通</w:t>
      </w:r>
      <w:bookmarkEnd w:id="1068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监控排污流量，确保稳定运行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70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5. 预防措施与日常管理</w:t>
      </w:r>
      <w:bookmarkEnd w:id="10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5.1 水质管理</w:t>
      </w:r>
      <w:bookmarkEnd w:id="1071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定期检测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：建立完善的水质检测制度</w:t>
      </w:r>
      <w:bookmarkEnd w:id="1072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设备维护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：定期检查和维护水处理设备</w:t>
      </w:r>
      <w:bookmarkEnd w:id="1073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参数记录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：详细记录水质参数变化趋势</w:t>
      </w:r>
      <w:bookmarkEnd w:id="10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5.2 操作规范</w:t>
      </w:r>
      <w:bookmarkEnd w:id="1075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培训教育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：加强操作人员技能培训</w:t>
      </w:r>
      <w:bookmarkEnd w:id="1076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制度建设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：建立完善的操作规程</w:t>
      </w:r>
      <w:bookmarkEnd w:id="1077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应急预案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：制定详细的应急处置方案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5.3 设备维护</w:t>
      </w:r>
      <w:bookmarkEnd w:id="1079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定期排污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：按规范执行定期排污</w:t>
      </w:r>
      <w:bookmarkEnd w:id="1080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设备检查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：定期检查排污阀门状态</w:t>
      </w:r>
      <w:bookmarkEnd w:id="1081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管道清理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：防止排污管道堵塞</w:t>
      </w:r>
      <w:bookmarkEnd w:id="10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8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6. 注意事项与避坑指南</w:t>
      </w:r>
      <w:bookmarkEnd w:id="10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6.1 操作禁忌</w:t>
      </w:r>
      <w:bookmarkEnd w:id="1084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禁止同时排污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：两台锅炉不能同时排污</w:t>
      </w:r>
      <w:bookmarkEnd w:id="1085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避免长时间排污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：单次排污时间不宜过长</w:t>
      </w:r>
      <w:bookmarkEnd w:id="1086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防止缺水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：注意排污时的水位控制</w:t>
      </w:r>
      <w:bookmarkEnd w:id="10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6.2 特殊情况处理</w:t>
      </w:r>
      <w:bookmarkEnd w:id="1088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冬季防冻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：注意排污管道防冻</w:t>
      </w:r>
      <w:bookmarkEnd w:id="1089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设备故障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：发现设备故障及时报修</w:t>
      </w:r>
      <w:bookmarkEnd w:id="1090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参数异常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：水质参数异常立即采取措施</w:t>
      </w:r>
      <w:bookmarkEnd w:id="10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9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6.3 检查要点</w:t>
      </w:r>
      <w:bookmarkEnd w:id="1092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阀门状态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：定期检查阀门密封性</w:t>
      </w:r>
      <w:bookmarkEnd w:id="1093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仪表校准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：定期校准水质检测仪表</w:t>
      </w:r>
      <w:bookmarkEnd w:id="1094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记录核查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：定期核查操作记录</w:t>
      </w:r>
      <w:bookmarkEnd w:id="10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96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7. 总结</w:t>
      </w:r>
      <w:bookmarkEnd w:id="10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汽水共腾事故的预防和处理需要从以下几个方面入手：</w:t>
      </w:r>
      <w:bookmarkEnd w:id="1097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强化水质控制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：严格控制锅水含盐量、硬度和碱度</w:t>
      </w:r>
      <w:bookmarkEnd w:id="1098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规范操作流程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：严格按照排污操作规程执行</w:t>
      </w:r>
      <w:bookmarkEnd w:id="1099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完善管理制度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：建立完善的水质管理和操作制度</w:t>
      </w:r>
      <w:bookmarkEnd w:id="1100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加强人员培训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：提高操作人员的技能水平和应急处理能力</w:t>
      </w:r>
      <w:bookmarkEnd w:id="11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通过系统性的管理和规范操作，汽水共腾事故是完全可以预防和有效控制的。建议企业建立长效管理机制，确保锅炉安全稳定运行。</w:t>
      </w:r>
      <w:bookmarkEnd w:id="11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编制单位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：锅炉安全技术研究中心</w:t>
      </w:r>
      <w:bookmarkEnd w:id="11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参考标准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：GB/T 1576-2018《工业锅炉水质》</w:t>
      </w:r>
      <w:bookmarkEnd w:id="11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发布日期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：2024年</w:t>
      </w:r>
      <w:bookmarkEnd w:id="11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适用范围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：工业锅炉运行管理人员和技术人员</w:t>
      </w:r>
      <w:bookmarkEnd w:id="110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2026-04-22T04:22:58Z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GBFQ5cKdxXuj0VU/RCiDNOs3P5PkvgfmvBbcErh/ZEw=","ProduceID":"doc_sgs:1c83e442-3837-4c26-83c7-4d3949803413","ReservedCode2":"GBFQ5cKdxXuj0VU/RCiDNOs3P5PkvgfmvBbcErh/ZEw=","PropagateID":"doc_sgs:1c83e442-3837-4c26-83c7-4d3949803413","ContentProducer":"001191440101MA9Y9T4H7A00000"}</vt:lpwstr>
  </property>
</Properties>
</file>