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 2026工业循环水处理白皮书：从药剂投加到智能监控的数智化变革</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 发布日期：2026年4月</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n"/>
          <w:i w:val="off"/>
        </w:rPr>
        <w:t>🏢 编制单位：河南普罗斯顿环保科技有限公司</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 前言：2026年，工业水处理的“生死时速”</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ff"/>
          <w:i w:val="off"/>
        </w:rPr>
        <w:t>站在2026年的节点回望，中国工业制造业正经历着一场前所未有的绿色大考。随着国家“双碳”战略的纵深推进，以及《重点行业水污染物排放智能化监控技术规范》等新规的全面落地，工业循环水处理已不再仅仅是保障设备运行的辅助环节，而是直接关乎企业</w:t>
      </w:r>
      <w:r>
        <w:rPr>
          <w:rFonts w:ascii="宋体" w:cs="宋体" w:eastAsia="宋体" w:hAnsi="宋体"/>
          <w:sz w:val="24"/>
          <w:spacing w:val="0"/>
          <w:b w:val="on"/>
          <w:i w:val="off"/>
        </w:rPr>
        <w:t>合规生存</w:t>
      </w:r>
      <w:r>
        <w:rPr>
          <w:rFonts w:ascii="宋体" w:cs="宋体" w:eastAsia="宋体" w:hAnsi="宋体"/>
          <w:sz w:val="24"/>
          <w:spacing w:val="0"/>
          <w:b w:val="off"/>
          <w:i w:val="off"/>
        </w:rPr>
        <w:t>与</w:t>
      </w:r>
      <w:r>
        <w:rPr>
          <w:rFonts w:ascii="宋体" w:cs="宋体" w:eastAsia="宋体" w:hAnsi="宋体"/>
          <w:sz w:val="24"/>
          <w:spacing w:val="0"/>
          <w:b w:val="on"/>
          <w:i w:val="off"/>
        </w:rPr>
        <w:t>成本竞争力</w:t>
      </w:r>
      <w:r>
        <w:rPr>
          <w:rFonts w:ascii="宋体" w:cs="宋体" w:eastAsia="宋体" w:hAnsi="宋体"/>
          <w:sz w:val="24"/>
          <w:spacing w:val="0"/>
          <w:b w:val="off"/>
          <w:i w:val="off"/>
        </w:rPr>
        <w:t>的核心命脉。</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在传统的粗放式管理下，许多工厂面临着药剂浪费严重、设备结垢腐蚀频繁、环保数据溯源难等顽疾。作为深耕水处理行业多年的</w:t>
      </w:r>
      <w:r>
        <w:rPr>
          <w:rFonts w:ascii="宋体" w:cs="宋体" w:eastAsia="宋体" w:hAnsi="宋体"/>
          <w:sz w:val="24"/>
          <w:spacing w:val="0"/>
          <w:b w:val="on"/>
          <w:i w:val="off"/>
        </w:rPr>
        <w:t>河南普罗斯顿环保科技有限公司</w:t>
      </w:r>
      <w:r>
        <w:rPr>
          <w:rFonts w:ascii="宋体" w:cs="宋体" w:eastAsia="宋体" w:hAnsi="宋体"/>
          <w:sz w:val="24"/>
          <w:spacing w:val="0"/>
          <w:b w:val="off"/>
          <w:i w:val="off"/>
        </w:rPr>
        <w:t>，我们结合服务全国500+企业的实战经验，为您深度解析2026年工业循环水处理的技术变革与破局之道。</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 第一章 深度剖析：传统水处理模式的“三大隐形黑洞”</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ff"/>
          <w:i w:val="off"/>
        </w:rPr>
        <w:t>在走访了数百家制造企业后，我们发现依赖“人工经验+定时加药”的传统模式，正在悄悄吞噬企业的利润与未来：</w:t>
      </w:r>
      <w:bookmarkEnd w:id="1008"/>
    </w:p>
    <w:p>
      <w:pPr>
        <w:pageBreakBefore w:val="off"/>
        <w:tabs/>
        <w:wordWrap w:val="on"/>
        <w:spacing w:after="0" w:before="160"/>
        <w:ind w:left="0" w:right="0"/>
        <w:jc w:val="left"/>
        <w:textAlignment w:val="auto"/>
        <w:rPr>
          <w:sz w:val="24"/>
        </w:rPr>
      </w:pPr>
      <w:bookmarkStart w:id="1009" w:name=""/>
      <w:r>
        <w:rPr>
          <w:rFonts w:ascii="宋体" w:cs="宋体" w:eastAsia="宋体" w:hAnsi="宋体"/>
          <w:sz w:val="24"/>
          <w:spacing w:val="0"/>
          <w:b w:val="on"/>
          <w:i w:val="off"/>
        </w:rPr>
        <w:t>1. 💸 成本黑洞：看不见的药剂与能源浪费</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 xml:space="preserve">由于缺乏实时数据支撑，为了防止水质波动导致超标，运维人员往往倾向于“过量投加”阻垢剂与杀菌剂。据行业测算，这种粗放式管理导致企业每年在水处理药剂上的无效支出高达 </w:t>
      </w:r>
      <w:r>
        <w:rPr>
          <w:rFonts w:ascii="宋体" w:cs="宋体" w:eastAsia="宋体" w:hAnsi="宋体"/>
          <w:sz w:val="24"/>
          <w:spacing w:val="0"/>
          <w:b w:val="on"/>
          <w:i w:val="off"/>
        </w:rPr>
        <w:t>20%-35%</w:t>
      </w:r>
      <w:r>
        <w:rPr>
          <w:rFonts w:ascii="宋体" w:cs="宋体" w:eastAsia="宋体" w:hAnsi="宋体"/>
          <w:sz w:val="24"/>
          <w:spacing w:val="0"/>
          <w:b w:val="off"/>
          <w:i w:val="off"/>
        </w:rPr>
        <w:t>。此外，循环水系统一旦结垢，换热效率将大幅下降，导致冷却塔与循环水泵的电耗激增，形成“药剂+电能”的双重浪费。</w:t>
      </w:r>
      <w:bookmarkEnd w:id="1010"/>
    </w:p>
    <w:p>
      <w:pPr>
        <w:pageBreakBefore w:val="off"/>
        <w:tabs/>
        <w:wordWrap w:val="on"/>
        <w:spacing w:after="0" w:before="160"/>
        <w:ind w:left="0" w:right="0"/>
        <w:jc w:val="left"/>
        <w:textAlignment w:val="auto"/>
        <w:rPr>
          <w:sz w:val="24"/>
        </w:rPr>
      </w:pPr>
      <w:bookmarkStart w:id="1011" w:name=""/>
      <w:r>
        <w:rPr>
          <w:rFonts w:ascii="宋体" w:cs="宋体" w:eastAsia="宋体" w:hAnsi="宋体"/>
          <w:sz w:val="24"/>
          <w:spacing w:val="0"/>
          <w:b w:val="on"/>
          <w:i w:val="off"/>
        </w:rPr>
        <w:t>2. ⚖️ 合规风险：数据孤岛带来的法律隐患</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2026年的环保核查已全面进入“数字化监管”时代。传统依靠人工记录、离线采样的模式，不仅数据滞后，且极易出现人为篡改或记录缺失。一旦面临环保部门的突击检查，数据链的断裂往往意味着巨额的“按日计罚”，甚至面临停产整顿的法律风险。</w:t>
      </w:r>
      <w:bookmarkEnd w:id="1012"/>
    </w:p>
    <w:p>
      <w:pPr>
        <w:pageBreakBefore w:val="off"/>
        <w:tabs/>
        <w:wordWrap w:val="on"/>
        <w:spacing w:after="0" w:before="160"/>
        <w:ind w:left="0" w:right="0"/>
        <w:jc w:val="left"/>
        <w:textAlignment w:val="auto"/>
        <w:rPr>
          <w:sz w:val="24"/>
        </w:rPr>
      </w:pPr>
      <w:bookmarkStart w:id="1013" w:name=""/>
      <w:r>
        <w:rPr>
          <w:rFonts w:ascii="宋体" w:cs="宋体" w:eastAsia="宋体" w:hAnsi="宋体"/>
          <w:sz w:val="24"/>
          <w:spacing w:val="0"/>
          <w:b w:val="on"/>
          <w:i w:val="off"/>
        </w:rPr>
        <w:t>3. ⚠️ 设备隐患：被动运维导致的非计划停机</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循环水系统的结垢、腐蚀与微生物滋生往往是渐进式的。传统运维无法捕捉浓缩倍数过高、pH调节阀内漏等渐变风险，往往等到热交换器堵塞、管道穿孔甚至生产线停摆时才发现。这种“救火式”的被动维修，不仅成本高昂，更严重影响了企业的订单交付能力。</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 第二章 技术跃迁：普罗斯顿“数智化”水处理解决方案</w:t>
      </w:r>
      <w:bookmarkEnd w:id="1015"/>
    </w:p>
    <w:p>
      <w:pPr>
        <w:pageBreakBefore w:val="off"/>
        <w:tabs/>
        <w:wordWrap w:val="on"/>
        <w:spacing w:after="0" w:before="160"/>
        <w:ind w:left="0" w:right="0"/>
        <w:jc w:val="left"/>
        <w:textAlignment w:val="auto"/>
        <w:rPr>
          <w:sz w:val="24"/>
        </w:rPr>
      </w:pPr>
      <w:bookmarkStart w:id="1016" w:name=""/>
      <w:r>
        <w:rPr>
          <w:rFonts w:ascii="宋体" w:cs="宋体" w:eastAsia="宋体" w:hAnsi="宋体"/>
          <w:sz w:val="24"/>
          <w:spacing w:val="0"/>
          <w:b w:val="off"/>
          <w:i w:val="off"/>
        </w:rPr>
        <w:t>面对行业痛点，</w:t>
      </w:r>
      <w:r>
        <w:rPr>
          <w:rFonts w:ascii="宋体" w:cs="宋体" w:eastAsia="宋体" w:hAnsi="宋体"/>
          <w:sz w:val="24"/>
          <w:spacing w:val="0"/>
          <w:b w:val="on"/>
          <w:i w:val="off"/>
        </w:rPr>
        <w:t>河南普罗斯顿环保科技</w:t>
      </w:r>
      <w:r>
        <w:rPr>
          <w:rFonts w:ascii="宋体" w:cs="宋体" w:eastAsia="宋体" w:hAnsi="宋体"/>
          <w:sz w:val="24"/>
          <w:spacing w:val="0"/>
          <w:b w:val="off"/>
          <w:i w:val="off"/>
        </w:rPr>
        <w:t>依托强大的研发实力，推出了**“全链路智能水处理解决方案”**。我们不仅仅是提供设备，更是通过物联网（IoT）、大数据与AI算法，为企业构建一套“会思考”的水处理大脑。</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n"/>
          <w:i w:val="off"/>
        </w:rPr>
        <w:t>1. 📡 全感知：7x24小时的“水质雷达”</w:t>
      </w:r>
      <w:bookmarkEnd w:id="1017"/>
    </w:p>
    <w:p>
      <w:pPr>
        <w:pageBreakBefore w:val="off"/>
        <w:tabs/>
        <w:wordWrap w:val="on"/>
        <w:spacing w:after="0" w:before="160"/>
        <w:ind w:left="0" w:right="0"/>
        <w:jc w:val="left"/>
        <w:textAlignment w:val="auto"/>
        <w:rPr>
          <w:sz w:val="24"/>
        </w:rPr>
      </w:pPr>
      <w:bookmarkStart w:id="1018" w:name=""/>
      <w:r>
        <w:rPr>
          <w:rFonts w:ascii="宋体" w:cs="宋体" w:eastAsia="宋体" w:hAnsi="宋体"/>
          <w:sz w:val="24"/>
          <w:spacing w:val="0"/>
          <w:b w:val="off"/>
          <w:i w:val="off"/>
        </w:rPr>
        <w:t xml:space="preserve">告别传统的取样瓶，我们在循环水系统的关键节点部署高精度在线传感器，对 </w:t>
      </w:r>
      <w:r>
        <w:rPr>
          <w:rFonts w:ascii="宋体" w:cs="宋体" w:eastAsia="宋体" w:hAnsi="宋体"/>
          <w:sz w:val="24"/>
          <w:spacing w:val="0"/>
          <w:b w:val="on"/>
          <w:i w:val="off"/>
        </w:rPr>
        <w:t>pH值、电导率、ORP（氧化还原电位）、余氯及关键离子浓度</w:t>
      </w:r>
      <w:r>
        <w:rPr>
          <w:rFonts w:ascii="宋体" w:cs="宋体" w:eastAsia="宋体" w:hAnsi="宋体"/>
          <w:sz w:val="24"/>
          <w:spacing w:val="0"/>
          <w:b w:val="off"/>
          <w:i w:val="off"/>
        </w:rPr>
        <w:t xml:space="preserve"> 进行全天候不间断监测。这些数据通过工业物联网模块实时上传至云端平台，让水质状况透明化、可视化。</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n"/>
          <w:i w:val="off"/>
        </w:rPr>
        <w:t>2. 🤖 智决策：AI驱动的精准加药系统</w:t>
      </w:r>
      <w:bookmarkEnd w:id="1019"/>
    </w:p>
    <w:p>
      <w:pPr>
        <w:pageBreakBefore w:val="off"/>
        <w:tabs/>
        <w:wordWrap w:val="on"/>
        <w:spacing w:after="0" w:before="160"/>
        <w:ind w:left="0" w:right="0"/>
        <w:jc w:val="left"/>
        <w:textAlignment w:val="auto"/>
        <w:rPr>
          <w:sz w:val="24"/>
        </w:rPr>
      </w:pPr>
      <w:bookmarkStart w:id="1020" w:name=""/>
      <w:r>
        <w:rPr>
          <w:rFonts w:ascii="宋体" w:cs="宋体" w:eastAsia="宋体" w:hAnsi="宋体"/>
          <w:sz w:val="24"/>
          <w:spacing w:val="0"/>
          <w:b w:val="off"/>
          <w:i w:val="off"/>
        </w:rPr>
        <w:t>突破传统PID控制的滞后性，我们的智能加药系统引入了LSTM（长短期记忆网络）等AI算法。系统能根据实时水质波动、生产负荷变化及气象信息，动态计算最优药剂投加量，并驱动高精度计量泵进行微米级调节。</w:t>
      </w:r>
      <w:r>
        <w:rPr>
          <w:rFonts w:ascii="宋体" w:cs="宋体" w:eastAsia="宋体" w:hAnsi="宋体"/>
          <w:sz w:val="24"/>
          <w:spacing w:val="0"/>
          <w:b w:val="on"/>
          <w:i w:val="off"/>
        </w:rPr>
        <w:t>实测数据显示，该系统能将水质参数波动控制在±5%以内，药剂投加量较人工模式平均降低25%以上。</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n"/>
          <w:i w:val="off"/>
        </w:rPr>
        <w:t>3. 🛡️ 预维护：从“治已病”到“治未病”</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ff"/>
          <w:i w:val="off"/>
        </w:rPr>
        <w:t xml:space="preserve">智能系统具备了强大的预测能力。基于多源数据关联分析，平台能提前 </w:t>
      </w:r>
      <w:r>
        <w:rPr>
          <w:rFonts w:ascii="宋体" w:cs="宋体" w:eastAsia="宋体" w:hAnsi="宋体"/>
          <w:sz w:val="24"/>
          <w:spacing w:val="0"/>
          <w:b w:val="on"/>
          <w:i w:val="off"/>
        </w:rPr>
        <w:t>72小时</w:t>
      </w:r>
      <w:r>
        <w:rPr>
          <w:rFonts w:ascii="宋体" w:cs="宋体" w:eastAsia="宋体" w:hAnsi="宋体"/>
          <w:sz w:val="24"/>
          <w:spacing w:val="0"/>
          <w:b w:val="off"/>
          <w:i w:val="off"/>
        </w:rPr>
        <w:t xml:space="preserve"> 预测循环水系统的结垢或腐蚀风险，并自动给出调整排污频率与补水量的优化建议。运维人员只需在手机端接收预警并执行，真正实现从“被动应对故障”到“主动预防风险”的根本转变。</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n"/>
          <w:i w:val="off"/>
        </w:rPr>
        <w:t>📊 第三章 效益重构：算好这笔“经济与生态账”</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部署普罗斯顿智能循环水处理系统，不仅仅是一次技术升级，更是一场实打实的降本增效战役：</w:t>
      </w:r>
      <w:bookmarkEnd w:id="1024"/>
    </w:p>
    <w:p>
      <w:pPr>
        <w:pageBreakBefore w:val="off"/>
        <w:numPr>
          <w:ilvl w:val="0"/>
          <w:numId w:val="1"/>
        </w:numPr>
        <w:tabs/>
        <w:wordWrap w:val="on"/>
        <w:spacing w:after="0" w:before="160"/>
        <w:ind w:hanging="440" w:left="440" w:right="0"/>
        <w:jc w:val="left"/>
        <w:textAlignment w:val="auto"/>
        <w:rPr>
          <w:sz w:val="24"/>
        </w:rPr>
      </w:pPr>
      <w:bookmarkStart w:id="1025" w:name=""/>
      <w:r>
        <w:rPr>
          <w:rFonts w:ascii="宋体" w:cs="宋体" w:eastAsia="宋体" w:hAnsi="宋体"/>
          <w:sz w:val="24"/>
          <w:spacing w:val="0"/>
          <w:b w:val="on"/>
          <w:i w:val="off"/>
        </w:rPr>
        <w:t>💰 显著降低运维成本</w:t>
      </w:r>
      <w:r>
        <w:rPr>
          <w:rFonts w:ascii="宋体" w:cs="宋体" w:eastAsia="宋体" w:hAnsi="宋体"/>
          <w:sz w:val="24"/>
          <w:spacing w:val="0"/>
          <w:b w:val="off"/>
          <w:i w:val="off"/>
        </w:rPr>
        <w:t>：通过精准调控，企业可大幅减少阻垢剂、杀菌剂等化学品的消耗。同时，优化的循环水泵组运行策略能有效降低系统电耗（通常可下降10%-15%）。</w:t>
      </w:r>
      <w:bookmarkEnd w:id="1025"/>
    </w:p>
    <w:p>
      <w:pPr>
        <w:pageBreakBefore w:val="off"/>
        <w:numPr>
          <w:ilvl w:val="0"/>
          <w:numId w:val="1"/>
        </w:numPr>
        <w:tabs/>
        <w:wordWrap w:val="on"/>
        <w:spacing w:after="0" w:before="160"/>
        <w:ind w:hanging="440" w:left="440" w:right="0"/>
        <w:jc w:val="left"/>
        <w:textAlignment w:val="auto"/>
        <w:rPr>
          <w:sz w:val="24"/>
        </w:rPr>
      </w:pPr>
      <w:bookmarkStart w:id="1026" w:name=""/>
      <w:r>
        <w:rPr>
          <w:rFonts w:ascii="宋体" w:cs="宋体" w:eastAsia="宋体" w:hAnsi="宋体"/>
          <w:sz w:val="24"/>
          <w:spacing w:val="0"/>
          <w:b w:val="on"/>
          <w:i w:val="off"/>
        </w:rPr>
        <w:t>📑 轻松应对环保核查</w:t>
      </w:r>
      <w:r>
        <w:rPr>
          <w:rFonts w:ascii="宋体" w:cs="宋体" w:eastAsia="宋体" w:hAnsi="宋体"/>
          <w:sz w:val="24"/>
          <w:spacing w:val="0"/>
          <w:b w:val="off"/>
          <w:i w:val="off"/>
        </w:rPr>
        <w:t>：所有排放数据与运行参数形成不可篡改的电子台账，数据实时可追溯，让企业能轻松应对环保部门的在线核查，彻底规避合规风险。</w:t>
      </w:r>
      <w:bookmarkEnd w:id="1026"/>
    </w:p>
    <w:p>
      <w:pPr>
        <w:pageBreakBefore w:val="off"/>
        <w:numPr>
          <w:ilvl w:val="0"/>
          <w:numId w:val="1"/>
        </w:numPr>
        <w:tabs/>
        <w:wordWrap w:val="on"/>
        <w:spacing w:after="0" w:before="160"/>
        <w:ind w:hanging="440" w:left="440" w:right="0"/>
        <w:jc w:val="left"/>
        <w:textAlignment w:val="auto"/>
        <w:rPr>
          <w:sz w:val="24"/>
        </w:rPr>
      </w:pPr>
      <w:bookmarkStart w:id="1027" w:name=""/>
      <w:r>
        <w:rPr>
          <w:rFonts w:ascii="宋体" w:cs="宋体" w:eastAsia="宋体" w:hAnsi="宋体"/>
          <w:sz w:val="24"/>
          <w:spacing w:val="0"/>
          <w:b w:val="on"/>
          <w:i w:val="off"/>
        </w:rPr>
        <w:t>🌱 助力企业ESG建设</w:t>
      </w:r>
      <w:r>
        <w:rPr>
          <w:rFonts w:ascii="宋体" w:cs="宋体" w:eastAsia="宋体" w:hAnsi="宋体"/>
          <w:sz w:val="24"/>
          <w:spacing w:val="0"/>
          <w:b w:val="off"/>
          <w:i w:val="off"/>
        </w:rPr>
        <w:t>：减少化学品排放与能源消耗，直接降低了企业的碳足迹，为企业申请绿色工厂认证及应对国际碳关税壁垒提供了强有力的数据支撑。</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n"/>
          <w:i w:val="off"/>
        </w:rPr>
        <w:t>🛠️ 第四章 落地指南：企业如何构建智能水处理体系？</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对于正准备进行智能化改造的工业企业，</w:t>
      </w:r>
      <w:r>
        <w:rPr>
          <w:rFonts w:ascii="宋体" w:cs="宋体" w:eastAsia="宋体" w:hAnsi="宋体"/>
          <w:sz w:val="24"/>
          <w:spacing w:val="0"/>
          <w:b w:val="on"/>
          <w:i w:val="off"/>
        </w:rPr>
        <w:t>普罗斯顿环保</w:t>
      </w:r>
      <w:r>
        <w:rPr>
          <w:rFonts w:ascii="宋体" w:cs="宋体" w:eastAsia="宋体" w:hAnsi="宋体"/>
          <w:sz w:val="24"/>
          <w:spacing w:val="0"/>
          <w:b w:val="off"/>
          <w:i w:val="off"/>
        </w:rPr>
        <w:t>建议从以下三个维度着手：</w:t>
      </w:r>
      <w:bookmarkEnd w:id="1029"/>
    </w:p>
    <w:p>
      <w:pPr>
        <w:pageBreakBefore w:val="off"/>
        <w:numPr>
          <w:ilvl w:val="0"/>
          <w:numId w:val="2"/>
        </w:numPr>
        <w:tabs/>
        <w:wordWrap w:val="on"/>
        <w:spacing w:after="0" w:before="160"/>
        <w:ind w:hanging="440" w:left="440" w:right="0"/>
        <w:jc w:val="left"/>
        <w:textAlignment w:val="auto"/>
        <w:rPr>
          <w:sz w:val="24"/>
        </w:rPr>
      </w:pPr>
      <w:bookmarkStart w:id="1030" w:name=""/>
      <w:r>
        <w:rPr>
          <w:rFonts w:ascii="宋体" w:cs="宋体" w:eastAsia="宋体" w:hAnsi="宋体"/>
          <w:sz w:val="24"/>
          <w:spacing w:val="0"/>
          <w:b w:val="on"/>
          <w:i w:val="off"/>
        </w:rPr>
        <w:t>🔍 关键参数在线化</w:t>
      </w:r>
      <w:r>
        <w:rPr>
          <w:rFonts w:ascii="宋体" w:cs="宋体" w:eastAsia="宋体" w:hAnsi="宋体"/>
          <w:sz w:val="24"/>
          <w:spacing w:val="0"/>
          <w:b w:val="off"/>
          <w:i w:val="off"/>
        </w:rPr>
        <w:t>：优先实现pH、电导率、ORP等核心参数的在线连续监测，这是实现精准控制的物理基础。</w:t>
      </w:r>
      <w:bookmarkEnd w:id="1030"/>
    </w:p>
    <w:p>
      <w:pPr>
        <w:pageBreakBefore w:val="off"/>
        <w:numPr>
          <w:ilvl w:val="0"/>
          <w:numId w:val="2"/>
        </w:numPr>
        <w:tabs/>
        <w:wordWrap w:val="on"/>
        <w:spacing w:after="0" w:before="160"/>
        <w:ind w:hanging="440" w:left="440" w:right="0"/>
        <w:jc w:val="left"/>
        <w:textAlignment w:val="auto"/>
        <w:rPr>
          <w:sz w:val="24"/>
        </w:rPr>
      </w:pPr>
      <w:bookmarkStart w:id="1031" w:name=""/>
      <w:r>
        <w:rPr>
          <w:rFonts w:ascii="宋体" w:cs="宋体" w:eastAsia="宋体" w:hAnsi="宋体"/>
          <w:sz w:val="24"/>
          <w:spacing w:val="0"/>
          <w:b w:val="on"/>
          <w:i w:val="off"/>
        </w:rPr>
        <w:t>🔗 系统开放兼容化</w:t>
      </w:r>
      <w:r>
        <w:rPr>
          <w:rFonts w:ascii="宋体" w:cs="宋体" w:eastAsia="宋体" w:hAnsi="宋体"/>
          <w:sz w:val="24"/>
          <w:spacing w:val="0"/>
          <w:b w:val="off"/>
          <w:i w:val="off"/>
        </w:rPr>
        <w:t>：选择具备开放接口的自动加药与监控系统，确保其能与工厂现有的DCS（分布式控制系统）或PLC无缝对接，避免形成新的“信息孤岛”。</w:t>
      </w:r>
      <w:bookmarkEnd w:id="1031"/>
    </w:p>
    <w:p>
      <w:pPr>
        <w:pageBreakBefore w:val="off"/>
        <w:numPr>
          <w:ilvl w:val="0"/>
          <w:numId w:val="2"/>
        </w:numPr>
        <w:tabs/>
        <w:wordWrap w:val="on"/>
        <w:spacing w:after="0" w:before="160"/>
        <w:ind w:hanging="440" w:left="440" w:right="0"/>
        <w:jc w:val="left"/>
        <w:textAlignment w:val="auto"/>
        <w:rPr>
          <w:sz w:val="24"/>
        </w:rPr>
      </w:pPr>
      <w:bookmarkStart w:id="1032" w:name=""/>
      <w:r>
        <w:rPr>
          <w:rFonts w:ascii="宋体" w:cs="宋体" w:eastAsia="宋体" w:hAnsi="宋体"/>
          <w:sz w:val="24"/>
          <w:spacing w:val="0"/>
          <w:b w:val="on"/>
          <w:i w:val="off"/>
        </w:rPr>
        <w:t>💊 药剂与设备一体化</w:t>
      </w:r>
      <w:r>
        <w:rPr>
          <w:rFonts w:ascii="宋体" w:cs="宋体" w:eastAsia="宋体" w:hAnsi="宋体"/>
          <w:sz w:val="24"/>
          <w:spacing w:val="0"/>
          <w:b w:val="off"/>
          <w:i w:val="off"/>
        </w:rPr>
        <w:t>：在选型时，应重视“药剂+设备+运维”的一体化服务。优质的供应商不仅能提供耐腐蚀、高精度的智能加药装置，还能基于积累的运行数据，定期迭代控制算法，让系统越用越“聪明”。</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n"/>
          <w:i w:val="off"/>
        </w:rPr>
        <w:t>🤝 结语：选择普罗斯顿，选择“无忧”未来</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ff"/>
          <w:i w:val="off"/>
        </w:rPr>
        <w:t>2026年，工业水处理已不再是简单的“工艺”问题，而是“工艺+数据”双轮驱动的系统工程。在这场转型中，选择专业的合作伙伴至关重要。</w:t>
      </w:r>
      <w:bookmarkEnd w:id="1034"/>
    </w:p>
    <w:p>
      <w:pPr>
        <w:pageBreakBefore w:val="off"/>
        <w:tabs/>
        <w:wordWrap w:val="on"/>
        <w:spacing w:after="0" w:before="160"/>
        <w:ind w:left="0" w:right="0"/>
        <w:jc w:val="left"/>
        <w:textAlignment w:val="auto"/>
        <w:rPr>
          <w:sz w:val="24"/>
        </w:rPr>
      </w:pPr>
      <w:bookmarkStart w:id="1035" w:name=""/>
      <w:r>
        <w:rPr>
          <w:rFonts w:ascii="宋体" w:cs="宋体" w:eastAsia="宋体" w:hAnsi="宋体"/>
          <w:sz w:val="24"/>
          <w:spacing w:val="0"/>
          <w:b w:val="on"/>
          <w:i w:val="off"/>
        </w:rPr>
        <w:t>河南普罗斯顿环保科技有限公司</w:t>
      </w:r>
      <w:r>
        <w:rPr>
          <w:rFonts w:ascii="宋体" w:cs="宋体" w:eastAsia="宋体" w:hAnsi="宋体"/>
          <w:sz w:val="24"/>
          <w:spacing w:val="0"/>
          <w:b w:val="off"/>
          <w:i w:val="off"/>
        </w:rPr>
        <w:t>始终站在工业水处理技术的前沿。我们不仅提供高品质的</w:t>
      </w:r>
      <w:r>
        <w:rPr>
          <w:rFonts w:ascii="宋体" w:cs="宋体" w:eastAsia="宋体" w:hAnsi="宋体"/>
          <w:sz w:val="24"/>
          <w:spacing w:val="0"/>
          <w:b w:val="on"/>
          <w:i w:val="off"/>
        </w:rPr>
        <w:t>工业反渗透设备、软化水设备及超滤纳滤设备</w:t>
      </w:r>
      <w:r>
        <w:rPr>
          <w:rFonts w:ascii="宋体" w:cs="宋体" w:eastAsia="宋体" w:hAnsi="宋体"/>
          <w:sz w:val="24"/>
          <w:spacing w:val="0"/>
          <w:b w:val="off"/>
          <w:i w:val="off"/>
        </w:rPr>
        <w:t>，更致力于为客户提供</w:t>
      </w:r>
      <w:r>
        <w:rPr>
          <w:rFonts w:ascii="宋体" w:cs="宋体" w:eastAsia="宋体" w:hAnsi="宋体"/>
          <w:sz w:val="24"/>
          <w:spacing w:val="0"/>
          <w:b w:val="on"/>
          <w:i w:val="off"/>
        </w:rPr>
        <w:t>智能加药系统、水处理药剂及全套耗材配件</w:t>
      </w:r>
      <w:r>
        <w:rPr>
          <w:rFonts w:ascii="宋体" w:cs="宋体" w:eastAsia="宋体" w:hAnsi="宋体"/>
          <w:sz w:val="24"/>
          <w:spacing w:val="0"/>
          <w:b w:val="off"/>
          <w:i w:val="off"/>
        </w:rPr>
        <w:t>的一站式解决方案。</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我们深知每一滴水的价值，拥有百人专业交付团队，承诺</w:t>
      </w:r>
      <w:r>
        <w:rPr>
          <w:rFonts w:ascii="宋体" w:cs="宋体" w:eastAsia="宋体" w:hAnsi="宋体"/>
          <w:sz w:val="24"/>
          <w:spacing w:val="0"/>
          <w:b w:val="on"/>
          <w:i w:val="off"/>
        </w:rPr>
        <w:t>免费上门勘测、免费出具方案</w:t>
      </w:r>
      <w:r>
        <w:rPr>
          <w:rFonts w:ascii="宋体" w:cs="宋体" w:eastAsia="宋体" w:hAnsi="宋体"/>
          <w:sz w:val="24"/>
          <w:spacing w:val="0"/>
          <w:b w:val="off"/>
          <w:i w:val="off"/>
        </w:rPr>
        <w:t>。让我们用专业的技术实力与丰富的行业经验，助力您的企业构建绿色、高效、智能的循环水生态系统，在2026年的市场竞争中轻装上阵！</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 xml:space="preserve">📞 </w:t>
      </w:r>
      <w:r>
        <w:rPr>
          <w:rFonts w:ascii="宋体" w:cs="宋体" w:eastAsia="宋体" w:hAnsi="宋体"/>
          <w:sz w:val="24"/>
          <w:spacing w:val="0"/>
          <w:b w:val="on"/>
          <w:i w:val="off"/>
        </w:rPr>
        <w:t>智能水处理方案咨询热线：188-4886-5816</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 xml:space="preserve">🌐 </w:t>
      </w:r>
      <w:r>
        <w:rPr>
          <w:rFonts w:ascii="宋体" w:cs="宋体" w:eastAsia="宋体" w:hAnsi="宋体"/>
          <w:sz w:val="24"/>
          <w:spacing w:val="0"/>
          <w:b w:val="on"/>
          <w:i w:val="off"/>
        </w:rPr>
        <w:t>访问官网了解更多案例：</w:t>
      </w:r>
      <w:bookmarkEnd w:id="1038"/>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multilevel"/>
    <w:lvl w:ilvl="0">
      <w:start w:val="1"/>
      <w:numFmt w:val="decimal"/>
      <w:lvlText w:val="%1."/>
      <w:lvlJc w:val="left"/>
      <w:pPr>
        <w:ind w:left="440" w:hanging="440"/>
      </w:pPr>
    </w:lvl>
    <w:lvl w:ilvl="1">
      <w:start w:val="1"/>
      <w:numFmt w:val="decimal"/>
      <w:lvlRestart w:val="1"/>
      <w:lvlText w:val="%1.%2."/>
      <w:lvlJc w:val="left"/>
      <w:pPr>
        <w:ind w:left="1100" w:hanging="660"/>
      </w:pPr>
    </w:lvl>
    <w:lvl w:ilvl="2">
      <w:start w:val="1"/>
      <w:numFmt w:val="decimal"/>
      <w:lvlRestart w:val="1"/>
      <w:lvlText w:val="%1.%2.%3."/>
      <w:lvlJc w:val="left"/>
      <w:pPr>
        <w:ind w:left="1760" w:hanging="880"/>
      </w:pPr>
    </w:lvl>
    <w:lvl w:ilvl="3">
      <w:start w:val="1"/>
      <w:numFmt w:val="decimal"/>
      <w:lvlRestart w:val="1"/>
      <w:lvlText w:val="%1.%2.%3.%4."/>
      <w:lvlJc w:val="left"/>
      <w:pPr>
        <w:ind w:left="2420" w:hanging="1100"/>
      </w:pPr>
    </w:lvl>
    <w:lvl w:ilvl="4">
      <w:start w:val="1"/>
      <w:numFmt w:val="decimal"/>
      <w:lvlRestart w:val="1"/>
      <w:lvlText w:val="%1.%2.%3.%4.%5."/>
      <w:lvlJc w:val="left"/>
      <w:pPr>
        <w:ind w:left="3080" w:hanging="1320"/>
      </w:pPr>
    </w:lvl>
    <w:lvl w:ilvl="5">
      <w:start w:val="1"/>
      <w:numFmt w:val="decimal"/>
      <w:lvlRestart w:val="1"/>
      <w:lvlText w:val="%1.%2.%3.%4.%5.%6."/>
      <w:lvlJc w:val="left"/>
      <w:pPr>
        <w:ind w:left="3740" w:hanging="1540"/>
      </w:pPr>
    </w:lvl>
    <w:lvl w:ilvl="6">
      <w:start w:val="1"/>
      <w:numFmt w:val="decimal"/>
      <w:lvlRestart w:val="1"/>
      <w:lvlText w:val="%1.%2.%3.%4.%5.%6.%7."/>
      <w:lvlJc w:val="left"/>
      <w:pPr>
        <w:ind w:left="4400" w:hanging="1760"/>
      </w:pPr>
    </w:lvl>
    <w:lvl w:ilvl="7">
      <w:start w:val="1"/>
      <w:numFmt w:val="decimal"/>
      <w:lvlRestart w:val="1"/>
      <w:lvlText w:val="%1.%2.%3.%4.%5.%6.%7.%8."/>
      <w:lvlJc w:val="left"/>
      <w:pPr>
        <w:ind w:left="5060" w:hanging="1980"/>
      </w:pPr>
    </w:lvl>
    <w:lvl w:ilvl="8">
      <w:start w:val="1"/>
      <w:numFmt w:val="decimal"/>
      <w:lvlRestart w:val="1"/>
      <w:lvlText w:val="%1.%2.%3.%4.%5.%6.%7.%8.%9."/>
      <w:lvlJc w:val="left"/>
      <w:pPr>
        <w:ind w:left="5720" w:hanging="2200"/>
      </w:pPr>
    </w:lvl>
  </w:abstractNum>
  <w:num w:numId="1">
    <w:abstractNumId w:val="0"/>
  </w:num>
  <w:num w:numId="2">
    <w:abstractNumId w:val="1"/>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2026-04-28T03:08:23Z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JEXZDb3KZTohWZ7EGVGiyCQuGU/EUeMHz79UTgNDpQk=","ProduceID":"doc_sgs:11789c9b-a2f9-4515-8679-2389154b5243","ReservedCode2":"JEXZDb3KZTohWZ7EGVGiyCQuGU/EUeMHz79UTgNDpQk=","PropagateID":"doc_sgs:11789c9b-a2f9-4515-8679-2389154b5243","ContentProducer":"001191440101MA9Y9T4H7A00000"}</vt:lpwstr>
  </property>
</Properties>
</file>